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6FB0497" w:rsidR="00093CA9" w:rsidRDefault="006F6567" w:rsidP="00093CA9">
            <w:r>
              <w:t>Khaitan</w:t>
            </w:r>
            <w:r w:rsidR="00AA27F7">
              <w:t xml:space="preserve"> &amp; Co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8D3397D" w:rsidR="00093CA9" w:rsidRDefault="00103C53" w:rsidP="00093CA9">
            <w:r w:rsidRPr="00103C53">
              <w:t>Renewable Purchase Obligations</w:t>
            </w:r>
            <w:r w:rsidR="00AA27F7">
              <w:t xml:space="preserve"> (RPOs)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59B50681" w14:textId="77777777" w:rsidR="00093CA9" w:rsidRDefault="002E0591" w:rsidP="00093CA9">
            <w:r>
              <w:t xml:space="preserve">Electricity Act, </w:t>
            </w:r>
            <w:hyperlink r:id="rId17" w:history="1">
              <w:r w:rsidRPr="002E0591">
                <w:rPr>
                  <w:rStyle w:val="Hyperlink"/>
                </w:rPr>
                <w:t>2003</w:t>
              </w:r>
            </w:hyperlink>
          </w:p>
          <w:p w14:paraId="1523C232" w14:textId="7EE65655" w:rsidR="002E0591" w:rsidRDefault="00FD758D" w:rsidP="00093CA9">
            <w:r>
              <w:t xml:space="preserve">National </w:t>
            </w:r>
            <w:hyperlink r:id="rId18" w:history="1">
              <w:r>
                <w:rPr>
                  <w:rStyle w:val="Hyperlink"/>
                </w:rPr>
                <w:t>T</w:t>
              </w:r>
              <w:r w:rsidRPr="00FD758D">
                <w:rPr>
                  <w:rStyle w:val="Hyperlink"/>
                </w:rPr>
                <w:t>ariff</w:t>
              </w:r>
              <w:r>
                <w:rPr>
                  <w:rStyle w:val="Hyperlink"/>
                </w:rPr>
                <w:t xml:space="preserve"> P</w:t>
              </w:r>
              <w:r w:rsidRPr="00FD758D">
                <w:rPr>
                  <w:rStyle w:val="Hyperlink"/>
                </w:rPr>
                <w:t>olicy</w:t>
              </w:r>
              <w:r>
                <w:rPr>
                  <w:rStyle w:val="Hyperlink"/>
                </w:rPr>
                <w:t>, 2016</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A84D261" w:rsidR="00093CA9" w:rsidRDefault="00103C5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6C0B59E7" w:rsidR="00093CA9" w:rsidRDefault="00103C53"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487967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08B872A6" w:rsidR="00093CA9" w:rsidRDefault="00737F44" w:rsidP="00E6028D">
            <w:pPr>
              <w:jc w:val="both"/>
            </w:pPr>
            <w:r>
              <w:t>RPOs</w:t>
            </w:r>
            <w:r w:rsidRPr="00737F44">
              <w:t xml:space="preserve"> are mandates requiring </w:t>
            </w:r>
            <w:r w:rsidR="00153159">
              <w:t xml:space="preserve">certain </w:t>
            </w:r>
            <w:r w:rsidRPr="00737F44">
              <w:t>specified</w:t>
            </w:r>
            <w:r w:rsidR="00153159">
              <w:t xml:space="preserve"> state-owner</w:t>
            </w:r>
            <w:r w:rsidRPr="00737F44">
              <w:t xml:space="preserve"> entities</w:t>
            </w:r>
            <w:r w:rsidR="00153159">
              <w:t xml:space="preserve"> – </w:t>
            </w:r>
            <w:r w:rsidRPr="00737F44">
              <w:t>mainly distribution licensees, open access consumers, and captive power producers</w:t>
            </w:r>
            <w:r w:rsidR="00153159">
              <w:t xml:space="preserve"> – </w:t>
            </w:r>
            <w:r w:rsidRPr="00737F44">
              <w:t>to purchase or generate a minimum percentage of their total electricity consumption from renewable sources. The RPO mechanism supports India’s clean energy transition by ensuring demand for renewable energy, thereby enabling decarbonization of the power sector. It is a critical transition planning tool and, in certain contexts (such as government procurement through</w:t>
            </w:r>
            <w:r w:rsidR="00772608">
              <w:t xml:space="preserve"> the </w:t>
            </w:r>
            <w:r w:rsidR="00772608" w:rsidRPr="00772608">
              <w:t>Solar Energy Corporation of India Limited</w:t>
            </w:r>
            <w:r w:rsidRPr="00737F44">
              <w:t>), intersects with public procurement obligations. It is implemented under the Electricity Act, 2003</w:t>
            </w:r>
            <w:r w:rsidR="0042391C">
              <w:t xml:space="preserve"> (Act)</w:t>
            </w:r>
            <w:r w:rsidRPr="00737F44">
              <w:t>, with binding targets periodically notified by the Ministry of Power (MoP).</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7DE72D0" w:rsidR="00093CA9" w:rsidRDefault="0042391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0CCE490F" w:rsidR="00093CA9" w:rsidRDefault="0042391C" w:rsidP="00E6028D">
            <w:pPr>
              <w:jc w:val="both"/>
            </w:pPr>
            <w:r w:rsidRPr="0042391C">
              <w:t xml:space="preserve">RPOs are binding and enforced under the </w:t>
            </w:r>
            <w:r>
              <w:t>Act</w:t>
            </w:r>
            <w:r w:rsidRPr="0042391C">
              <w:t xml:space="preserve">. Targets have been successively revised, most recently via the </w:t>
            </w:r>
            <w:r>
              <w:t>MoP’</w:t>
            </w:r>
            <w:r w:rsidRPr="0042391C">
              <w:t xml:space="preserve">s trajectory notification dated </w:t>
            </w:r>
            <w:r w:rsidR="00945921">
              <w:t>22 July</w:t>
            </w:r>
            <w:r w:rsidR="00907481">
              <w:t xml:space="preserve"> </w:t>
            </w:r>
            <w:r w:rsidRPr="0042391C">
              <w:t xml:space="preserve">2022 </w:t>
            </w:r>
            <w:r w:rsidR="00945921">
              <w:t>(as amended</w:t>
            </w:r>
            <w:r w:rsidR="00760A5E">
              <w:t xml:space="preserve"> by way of corrigendums) </w:t>
            </w:r>
            <w:r w:rsidRPr="0042391C">
              <w:t>(RPO till FY 2029-30</w:t>
            </w:r>
            <w:r w:rsidR="00760A5E" w:rsidRPr="0042391C">
              <w:t>) and</w:t>
            </w:r>
            <w:r w:rsidRPr="0042391C">
              <w:t xml:space="preserve"> remain in force.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826757F" w:rsidR="00093CA9" w:rsidRPr="00173D7C" w:rsidRDefault="00B74EBB" w:rsidP="00E6028D">
            <w:pPr>
              <w:jc w:val="both"/>
              <w:rPr>
                <w:color w:val="000000" w:themeColor="text1"/>
              </w:rPr>
            </w:pPr>
            <w:r w:rsidRPr="00B74EBB">
              <w:rPr>
                <w:color w:val="000000" w:themeColor="text1"/>
              </w:rPr>
              <w:t>2003 (under the Act); specific RPO regulations implemented by S</w:t>
            </w:r>
            <w:r>
              <w:rPr>
                <w:color w:val="000000" w:themeColor="text1"/>
              </w:rPr>
              <w:t>tate Electricity Regulatory Commissions</w:t>
            </w:r>
            <w:r w:rsidRPr="00B74EBB">
              <w:rPr>
                <w:color w:val="000000" w:themeColor="text1"/>
              </w:rPr>
              <w:t xml:space="preserve"> </w:t>
            </w:r>
            <w:r w:rsidR="00A06F66">
              <w:rPr>
                <w:color w:val="000000" w:themeColor="text1"/>
              </w:rPr>
              <w:t xml:space="preserve">(SERCs) </w:t>
            </w:r>
            <w:r w:rsidRPr="00B74EBB">
              <w:rPr>
                <w:color w:val="000000" w:themeColor="text1"/>
              </w:rPr>
              <w:t>since 2010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BC97616" w:rsidR="00093CA9" w:rsidRPr="00173D7C" w:rsidRDefault="001D6D13" w:rsidP="00E6028D">
            <w:pPr>
              <w:jc w:val="both"/>
              <w:rPr>
                <w:color w:val="000000" w:themeColor="text1"/>
              </w:rPr>
            </w:pPr>
            <w:r w:rsidRPr="001D6D13">
              <w:rPr>
                <w:color w:val="000000" w:themeColor="text1"/>
              </w:rPr>
              <w:t>Effective from 2010 (state-level enforcement began thereafter); latest trajectory applies from 2022</w:t>
            </w:r>
            <w:r>
              <w:rPr>
                <w:color w:val="000000" w:themeColor="text1"/>
              </w:rPr>
              <w:t>-</w:t>
            </w:r>
            <w:r w:rsidRPr="001D6D13">
              <w:rPr>
                <w:color w:val="000000" w:themeColor="text1"/>
              </w:rPr>
              <w:t>2030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6EB3D72F" w:rsidR="00093CA9" w:rsidRPr="00587FAE" w:rsidRDefault="001D6D13" w:rsidP="00E6028D">
            <w:pPr>
              <w:jc w:val="both"/>
              <w:rPr>
                <w:color w:val="000000" w:themeColor="text1"/>
              </w:rPr>
            </w:pPr>
            <w:r w:rsidRPr="001D6D13">
              <w:rPr>
                <w:color w:val="000000" w:themeColor="text1"/>
              </w:rPr>
              <w:t>RPO targets are defined in multi-year phases (e.g., FY 2022</w:t>
            </w:r>
            <w:r>
              <w:rPr>
                <w:color w:val="000000" w:themeColor="text1"/>
              </w:rPr>
              <w:t>-</w:t>
            </w:r>
            <w:r w:rsidRPr="001D6D13">
              <w:rPr>
                <w:color w:val="000000" w:themeColor="text1"/>
              </w:rPr>
              <w:t xml:space="preserve">30) and are further categorized into </w:t>
            </w:r>
            <w:r>
              <w:rPr>
                <w:color w:val="000000" w:themeColor="text1"/>
              </w:rPr>
              <w:t>s</w:t>
            </w:r>
            <w:r w:rsidRPr="001D6D13">
              <w:rPr>
                <w:color w:val="000000" w:themeColor="text1"/>
              </w:rPr>
              <w:t xml:space="preserve">olar, </w:t>
            </w:r>
            <w:r>
              <w:rPr>
                <w:color w:val="000000" w:themeColor="text1"/>
              </w:rPr>
              <w:t>w</w:t>
            </w:r>
            <w:r w:rsidRPr="001D6D13">
              <w:rPr>
                <w:color w:val="000000" w:themeColor="text1"/>
              </w:rPr>
              <w:t xml:space="preserve">ind, </w:t>
            </w:r>
            <w:r>
              <w:rPr>
                <w:color w:val="000000" w:themeColor="text1"/>
              </w:rPr>
              <w:t>h</w:t>
            </w:r>
            <w:r w:rsidRPr="001D6D13">
              <w:rPr>
                <w:color w:val="000000" w:themeColor="text1"/>
              </w:rPr>
              <w:t>ydro</w:t>
            </w:r>
            <w:r>
              <w:rPr>
                <w:color w:val="000000" w:themeColor="text1"/>
              </w:rPr>
              <w:t xml:space="preserve"> </w:t>
            </w:r>
            <w:r w:rsidRPr="001D6D13">
              <w:rPr>
                <w:color w:val="000000" w:themeColor="text1"/>
              </w:rPr>
              <w:t xml:space="preserve">and </w:t>
            </w:r>
            <w:r>
              <w:rPr>
                <w:color w:val="000000" w:themeColor="text1"/>
              </w:rPr>
              <w:t>o</w:t>
            </w:r>
            <w:r w:rsidRPr="001D6D13">
              <w:rPr>
                <w:color w:val="000000" w:themeColor="text1"/>
              </w:rPr>
              <w:t>ther RPOs with progressive yearly increases.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5721DD1" w:rsidR="00093CA9" w:rsidRPr="007419BF" w:rsidRDefault="001D6D13" w:rsidP="00093CA9">
            <w:pPr>
              <w:rPr>
                <w:color w:val="000000" w:themeColor="text1"/>
              </w:rPr>
            </w:pPr>
            <w:r>
              <w:rPr>
                <w:color w:val="000000" w:themeColor="text1"/>
              </w:rPr>
              <w:t>Ongoing framework with evolving targets</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76E0448" w:rsidR="00093CA9" w:rsidRDefault="00A06F66" w:rsidP="00093CA9">
            <w:r>
              <w:t>Ministry (Specifically, the Ministry of Power (MoP),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D1ECDA8" w:rsidR="00093CA9" w:rsidRPr="006B7B0D" w:rsidRDefault="00E3786E" w:rsidP="00E6028D">
            <w:pPr>
              <w:jc w:val="both"/>
            </w:pPr>
            <w:r w:rsidRPr="00E3786E">
              <w:t>Central Electricity Regulatory Commission (CERC) and respective State Electricity Regulatory Commissions (SERCs)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D8CD217" w:rsidR="00093CA9" w:rsidRPr="006B7B0D" w:rsidRDefault="0028327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C9C94B0" w:rsidR="00093CA9" w:rsidRPr="006B7B0D" w:rsidRDefault="00283275" w:rsidP="00093CA9">
            <w:r w:rsidRPr="00283275">
              <w:t>Ministry of Power (MoP), Government of India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31DD6B3F" w:rsidR="00093CA9" w:rsidRPr="006B7B0D" w:rsidRDefault="00283275"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D29231E" w:rsidR="00093CA9" w:rsidRPr="006B7B0D" w:rsidRDefault="00E64260" w:rsidP="00093CA9">
            <w:r w:rsidRPr="00E64260">
              <w:t>Central Electricity Authority (CEA)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045933A" w:rsidR="00093CA9" w:rsidRPr="006B7B0D" w:rsidRDefault="00E64260"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AF35F72" w:rsidR="00093CA9" w:rsidRPr="006B7B0D" w:rsidRDefault="00E64260" w:rsidP="00093CA9">
            <w:r w:rsidRPr="00E64260">
              <w:t>State Nodal Agencies (e.g., MEDA, GEDA, HAREDA depending on the state)</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392E9DDE" w:rsidR="00093CA9" w:rsidRPr="006B7B0D" w:rsidRDefault="00E64260"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57A0B280" w:rsidR="00093CA9" w:rsidRPr="006B7B0D" w:rsidRDefault="00A6115A" w:rsidP="00E6028D">
            <w:pPr>
              <w:jc w:val="both"/>
            </w:pPr>
            <w:r w:rsidRPr="00A6115A">
              <w:t>Solar Energy Corporation of India (SECI) (primarily in procurement support and centralized bidding)</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35C4FA2F" w:rsidR="00093CA9" w:rsidRPr="006B7B0D" w:rsidRDefault="00A6115A"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2F107879" w:rsidR="00093CA9" w:rsidRDefault="007B1B4F" w:rsidP="00E6028D">
            <w:pPr>
              <w:jc w:val="both"/>
            </w:pPr>
            <w:r w:rsidRPr="007B1B4F">
              <w:t xml:space="preserve">Implementation is decentralized across states with state-specific regulations issued by each SERC. While </w:t>
            </w:r>
            <w:r>
              <w:t xml:space="preserve">the </w:t>
            </w:r>
            <w:r w:rsidRPr="007B1B4F">
              <w:t>CERC and MoP provide central guidance and trajectories, actual compliance monitoring, certificate trading (R</w:t>
            </w:r>
            <w:r>
              <w:t xml:space="preserve">enewable </w:t>
            </w:r>
            <w:r w:rsidRPr="007B1B4F">
              <w:t>E</w:t>
            </w:r>
            <w:r>
              <w:t xml:space="preserve">nergy </w:t>
            </w:r>
            <w:r w:rsidRPr="007B1B4F">
              <w:t>C</w:t>
            </w:r>
            <w:r>
              <w:t>ertificate</w:t>
            </w:r>
            <w:r w:rsidRPr="007B1B4F">
              <w:t>s)</w:t>
            </w:r>
            <w:r>
              <w:t xml:space="preserve"> </w:t>
            </w:r>
            <w:r w:rsidRPr="007B1B4F">
              <w:t>and enforcement occur at state level. SECI and NTPC Vidyut Vyapar Nigam (NVVN) also support centralized procurement under national programs.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BDF190F" w:rsidR="00093CA9" w:rsidRDefault="007B1B4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5BD1BE29" w:rsidR="00093CA9" w:rsidRPr="008017F9" w:rsidRDefault="00D2565E" w:rsidP="00E6028D">
            <w:pPr>
              <w:jc w:val="both"/>
              <w:rPr>
                <w:color w:val="000000" w:themeColor="text1"/>
              </w:rPr>
            </w:pPr>
            <w:r w:rsidRPr="00D2565E">
              <w:rPr>
                <w:color w:val="000000" w:themeColor="text1"/>
              </w:rPr>
              <w:t>Compliance is monitored through periodic Renewable Energy Compliance Reports submitted by obligated entities to the respective SERCs. Centralized tracking of Renewable Energy Certificates (RECs) is managed via platforms like the National Load Despatch Centre (NLDC) and POSOCO. Annual compliance summaries are also published by the CEA and MoP</w:t>
            </w:r>
            <w:r w:rsidR="00A3614E">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3FF23154" w:rsidR="00C4670C" w:rsidRPr="00C37D48" w:rsidRDefault="00704340"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B7BA204" w:rsidR="00C4670C" w:rsidRPr="00C37D48" w:rsidRDefault="00704340"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386F70E" w:rsidR="00C4670C" w:rsidRPr="00C37D48" w:rsidRDefault="00704340"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678BB3D" w:rsidR="00C4670C" w:rsidRPr="00C37D48" w:rsidRDefault="00704340"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A88ED27" w:rsidR="00C4670C" w:rsidRPr="00C37D48" w:rsidRDefault="00704340"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8A1E529" w:rsidR="00C4670C" w:rsidRPr="00C37D48" w:rsidRDefault="00704340"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2BF48BF" w:rsidR="00C4670C" w:rsidRPr="00C37D48" w:rsidRDefault="00704340"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9B3506F" w:rsidR="00C4670C" w:rsidRPr="00C37D48" w:rsidRDefault="00704340"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ACB0F53" w:rsidR="00C4670C" w:rsidRPr="00C37D48" w:rsidRDefault="00704340"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F1987CC" w:rsidR="00C4670C" w:rsidRPr="00C37D48" w:rsidRDefault="00BA0460"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99A3007" w:rsidR="00C4670C" w:rsidRPr="00C37D48" w:rsidRDefault="00BA0460"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541A3C4" w:rsidR="00C4670C" w:rsidRPr="00C37D48" w:rsidRDefault="00BA0460"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81CA88F" w:rsidR="00C4670C" w:rsidRPr="00C37D48" w:rsidRDefault="00BA0460"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242DF4C3" w:rsidR="004F276F" w:rsidRPr="00C37D48" w:rsidRDefault="00BA0460" w:rsidP="00C37D48">
            <w:pPr>
              <w:rPr>
                <w:rFonts w:ascii="Calibri" w:hAnsi="Calibri" w:cs="Calibri"/>
              </w:rPr>
            </w:pPr>
            <w:r>
              <w:rPr>
                <w:rFonts w:ascii="Calibri" w:hAnsi="Calibri" w:cs="Calibri"/>
              </w:rPr>
              <w:t>Not applicable</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070AE466" w:rsidR="004F276F" w:rsidRPr="00C37D48" w:rsidRDefault="0025102F"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2000ACE" w:rsidR="004F276F" w:rsidRPr="00C37D48" w:rsidRDefault="0025102F"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0997CEBF" w:rsidR="004F276F" w:rsidRPr="00C37D48" w:rsidRDefault="0025102F"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3AF84B84" w:rsidR="004F276F" w:rsidRPr="00C37D48" w:rsidRDefault="0025102F"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95847B9" w:rsidR="004F276F" w:rsidRPr="00C37D48" w:rsidRDefault="0025102F"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41EC477" w:rsidR="004F276F" w:rsidRPr="00C37D48" w:rsidRDefault="0025102F"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B917D69" w:rsidR="004F276F" w:rsidRPr="00C37D48" w:rsidRDefault="0025102F"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4A043CB9" w:rsidR="004F276F" w:rsidRPr="00C37D48" w:rsidRDefault="0025102F"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BBF81BC" w:rsidR="004F276F" w:rsidRPr="00C37D48" w:rsidRDefault="0025102F"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D942761" w:rsidR="004F276F" w:rsidRPr="00C37D48" w:rsidRDefault="0025102F"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E8049A1" w:rsidR="004F276F" w:rsidRPr="00C37D48" w:rsidRDefault="0025102F"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5611A0B2" w:rsidR="004F276F" w:rsidRPr="00C37D48" w:rsidRDefault="0025102F"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4B491D26" w:rsidR="004F276F" w:rsidRPr="00C37D48" w:rsidRDefault="0025102F"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1B2882B7" w:rsidR="004F276F" w:rsidRPr="00C37D48" w:rsidRDefault="0025102F"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3BA3F21" w:rsidR="004F276F" w:rsidRPr="00C37D48" w:rsidRDefault="0025102F"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4CEB01C9" w:rsidR="004F276F" w:rsidRPr="00C37D48" w:rsidRDefault="0025102F"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501706CC" w:rsidR="004F276F" w:rsidRPr="00C37D48" w:rsidRDefault="0025102F"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1210FB8B" w:rsidR="004F276F" w:rsidRPr="00C37D48" w:rsidRDefault="0025102F"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56A2A7B" w:rsidR="004F276F" w:rsidRPr="00C37D48" w:rsidRDefault="0025102F"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47C7A01" w:rsidR="004F276F" w:rsidRPr="00C37D48" w:rsidRDefault="0025102F"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B50D23B" w:rsidR="004F276F" w:rsidRPr="00C37D48" w:rsidRDefault="0025102F"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BF8312C" w:rsidR="004F276F" w:rsidRPr="00C37D48" w:rsidRDefault="0025102F"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2628198B" w:rsidR="004F276F" w:rsidRPr="00C37D48" w:rsidRDefault="00167CFC" w:rsidP="00E6028D">
            <w:pPr>
              <w:jc w:val="both"/>
              <w:rPr>
                <w:rFonts w:ascii="Calibri" w:hAnsi="Calibri" w:cs="Calibri"/>
              </w:rPr>
            </w:pPr>
            <w:r w:rsidRPr="00167CFC">
              <w:rPr>
                <w:rFonts w:ascii="Calibri" w:hAnsi="Calibri" w:cs="Calibri"/>
              </w:rPr>
              <w:t>Electricity, gas, steam and air conditioning supply is mandatorily targeted, particularly for entities that fall under RPO obligations like electricity distribution companies, captive generating plants</w:t>
            </w:r>
            <w:r>
              <w:rPr>
                <w:rFonts w:ascii="Calibri" w:hAnsi="Calibri" w:cs="Calibri"/>
              </w:rPr>
              <w:t xml:space="preserve"> </w:t>
            </w:r>
            <w:r w:rsidRPr="00167CFC">
              <w:rPr>
                <w:rFonts w:ascii="Calibri" w:hAnsi="Calibri" w:cs="Calibri"/>
              </w:rPr>
              <w:t>and open access consumers</w:t>
            </w:r>
            <w:r>
              <w:rPr>
                <w:rFonts w:ascii="Calibri" w:hAnsi="Calibri" w:cs="Calibri"/>
              </w:rPr>
              <w: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20AADFBF" w:rsidR="004F276F" w:rsidRPr="00C37D48" w:rsidRDefault="008F7AC3" w:rsidP="00C37D48">
            <w:pPr>
              <w:rPr>
                <w:rFonts w:ascii="Calibri" w:hAnsi="Calibri" w:cs="Calibri"/>
              </w:rPr>
            </w:pPr>
            <w:r>
              <w:rPr>
                <w:rFonts w:ascii="Calibri" w:hAnsi="Calibri" w:cs="Calibri"/>
              </w:rPr>
              <w:t>Not specified</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6637B009" w:rsidR="004F276F" w:rsidRPr="00C37D48" w:rsidRDefault="008F7AC3" w:rsidP="00C37D48">
            <w:pPr>
              <w:rPr>
                <w:rFonts w:ascii="Calibri" w:hAnsi="Calibri" w:cs="Calibri"/>
              </w:rPr>
            </w:pPr>
            <w:r>
              <w:rPr>
                <w:rFonts w:ascii="Calibri" w:hAnsi="Calibri" w:cs="Calibri"/>
              </w:rPr>
              <w:t>Not specified</w:t>
            </w: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44CBEF56" w:rsidR="004F276F" w:rsidRPr="00C37D48" w:rsidRDefault="008F7AC3" w:rsidP="00C37D48">
            <w:pPr>
              <w:rPr>
                <w:rFonts w:ascii="Calibri" w:hAnsi="Calibri" w:cs="Calibri"/>
                <w:lang w:val="sv-SE"/>
              </w:rPr>
            </w:pPr>
            <w:r>
              <w:rPr>
                <w:rFonts w:ascii="Calibri" w:hAnsi="Calibri" w:cs="Calibri"/>
                <w:lang w:val="sv-SE"/>
              </w:rPr>
              <w:t>Not specified</w:t>
            </w:r>
          </w:p>
        </w:tc>
      </w:tr>
      <w:tr w:rsidR="008F7AC3" w:rsidRPr="004F276F" w14:paraId="3C031BAD" w14:textId="77777777" w:rsidTr="00C37D48">
        <w:trPr>
          <w:trHeight w:val="620"/>
        </w:trPr>
        <w:tc>
          <w:tcPr>
            <w:tcW w:w="1066" w:type="dxa"/>
            <w:vAlign w:val="center"/>
          </w:tcPr>
          <w:p w14:paraId="1DEA21E0" w14:textId="750D2617" w:rsidR="008F7AC3" w:rsidRPr="00C37D48" w:rsidRDefault="008F7AC3" w:rsidP="008F7AC3">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8F7AC3" w:rsidRPr="00C37D48" w:rsidRDefault="008F7AC3" w:rsidP="008F7AC3">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5F4D0793" w:rsidR="008F7AC3" w:rsidRPr="00C37D48" w:rsidRDefault="008F7AC3" w:rsidP="008F7AC3">
            <w:pPr>
              <w:rPr>
                <w:rFonts w:ascii="Calibri" w:hAnsi="Calibri" w:cs="Calibri"/>
              </w:rPr>
            </w:pPr>
            <w:r>
              <w:rPr>
                <w:rFonts w:ascii="Calibri" w:hAnsi="Calibri" w:cs="Calibri"/>
              </w:rPr>
              <w:t>Not specified</w:t>
            </w:r>
          </w:p>
        </w:tc>
      </w:tr>
      <w:tr w:rsidR="008F7AC3" w:rsidRPr="004F276F" w14:paraId="321CCE24" w14:textId="77777777" w:rsidTr="00C37D48">
        <w:trPr>
          <w:trHeight w:val="440"/>
        </w:trPr>
        <w:tc>
          <w:tcPr>
            <w:tcW w:w="1066" w:type="dxa"/>
            <w:vAlign w:val="center"/>
          </w:tcPr>
          <w:p w14:paraId="5E499DDA" w14:textId="57B33C55" w:rsidR="008F7AC3" w:rsidRPr="00C37D48" w:rsidRDefault="008F7AC3" w:rsidP="008F7AC3">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8F7AC3" w:rsidRPr="00C37D48" w:rsidRDefault="008F7AC3" w:rsidP="008F7AC3">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1B00D506" w:rsidR="008F7AC3" w:rsidRPr="00C37D48" w:rsidRDefault="008F7AC3" w:rsidP="008F7AC3">
            <w:pPr>
              <w:rPr>
                <w:rFonts w:ascii="Calibri" w:hAnsi="Calibri" w:cs="Calibri"/>
              </w:rPr>
            </w:pPr>
            <w:r>
              <w:rPr>
                <w:rFonts w:ascii="Calibri" w:hAnsi="Calibri" w:cs="Calibri"/>
              </w:rPr>
              <w:t>Entities operating within India</w:t>
            </w:r>
          </w:p>
        </w:tc>
      </w:tr>
      <w:tr w:rsidR="008F7AC3" w:rsidRPr="004F276F" w14:paraId="48D7659C" w14:textId="77777777" w:rsidTr="00C37D48">
        <w:trPr>
          <w:trHeight w:val="350"/>
        </w:trPr>
        <w:tc>
          <w:tcPr>
            <w:tcW w:w="1066" w:type="dxa"/>
            <w:vAlign w:val="center"/>
          </w:tcPr>
          <w:p w14:paraId="161D069C" w14:textId="68156053" w:rsidR="008F7AC3" w:rsidRPr="00C37D48" w:rsidRDefault="008F7AC3" w:rsidP="008F7AC3">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8F7AC3" w:rsidRPr="00C37D48" w:rsidRDefault="008F7AC3" w:rsidP="008F7AC3">
            <w:pPr>
              <w:rPr>
                <w:rFonts w:ascii="Calibri" w:hAnsi="Calibri" w:cs="Calibri"/>
              </w:rPr>
            </w:pPr>
            <w:r w:rsidRPr="00C37D48">
              <w:rPr>
                <w:rFonts w:ascii="Calibri" w:hAnsi="Calibri" w:cs="Calibri"/>
              </w:rPr>
              <w:t>Other</w:t>
            </w:r>
          </w:p>
        </w:tc>
        <w:tc>
          <w:tcPr>
            <w:tcW w:w="4894" w:type="dxa"/>
            <w:gridSpan w:val="4"/>
            <w:vAlign w:val="center"/>
          </w:tcPr>
          <w:p w14:paraId="16E77746" w14:textId="5D4783B1" w:rsidR="008F7AC3" w:rsidRPr="00C37D48" w:rsidRDefault="005A234A" w:rsidP="00E6028D">
            <w:pPr>
              <w:jc w:val="both"/>
              <w:rPr>
                <w:rFonts w:ascii="Calibri" w:hAnsi="Calibri" w:cs="Calibri"/>
              </w:rPr>
            </w:pPr>
            <w:r w:rsidRPr="005A234A">
              <w:rPr>
                <w:rFonts w:ascii="Calibri" w:hAnsi="Calibri" w:cs="Calibri"/>
              </w:rPr>
              <w:t>Obligated entities include (i) Distribution Licensees, (ii) Captive power consumers with installed capacity ≥ 1 MW, and (iii) Open Access Consumers with demand ≥ 1 MW.</w:t>
            </w:r>
          </w:p>
        </w:tc>
      </w:tr>
      <w:tr w:rsidR="008F7AC3" w:rsidRPr="004F276F" w14:paraId="49DD4619" w14:textId="77777777" w:rsidTr="00C37D48">
        <w:trPr>
          <w:trHeight w:val="710"/>
        </w:trPr>
        <w:tc>
          <w:tcPr>
            <w:tcW w:w="1066" w:type="dxa"/>
            <w:vAlign w:val="center"/>
          </w:tcPr>
          <w:p w14:paraId="0A61FFD2" w14:textId="310E132C" w:rsidR="008F7AC3" w:rsidRPr="00C37D48" w:rsidRDefault="008F7AC3" w:rsidP="008F7AC3">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8F7AC3" w:rsidRPr="00C37D48" w:rsidRDefault="008F7AC3" w:rsidP="008F7AC3">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8F7AC3" w:rsidRPr="004F276F" w14:paraId="48C3E1F9" w14:textId="77777777" w:rsidTr="00C37D48">
        <w:trPr>
          <w:trHeight w:val="440"/>
        </w:trPr>
        <w:tc>
          <w:tcPr>
            <w:tcW w:w="1066" w:type="dxa"/>
            <w:vAlign w:val="center"/>
          </w:tcPr>
          <w:p w14:paraId="48D7141C" w14:textId="3A3F0D75" w:rsidR="008F7AC3" w:rsidRPr="00C37D48" w:rsidRDefault="008F7AC3" w:rsidP="008F7AC3">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8F7AC3" w:rsidRPr="00C37D48" w:rsidRDefault="008F7AC3" w:rsidP="008F7AC3">
            <w:pPr>
              <w:rPr>
                <w:rFonts w:ascii="Calibri" w:hAnsi="Calibri" w:cs="Calibri"/>
              </w:rPr>
            </w:pPr>
            <w:r w:rsidRPr="00C37D48">
              <w:rPr>
                <w:rFonts w:ascii="Calibri" w:hAnsi="Calibri" w:cs="Calibri"/>
              </w:rPr>
              <w:t>No</w:t>
            </w:r>
          </w:p>
        </w:tc>
        <w:tc>
          <w:tcPr>
            <w:tcW w:w="4894" w:type="dxa"/>
            <w:gridSpan w:val="4"/>
            <w:vAlign w:val="center"/>
          </w:tcPr>
          <w:p w14:paraId="5D4204ED" w14:textId="2E7C3A17" w:rsidR="008F7AC3" w:rsidRPr="00C37D48" w:rsidRDefault="005A234A" w:rsidP="008F7AC3">
            <w:pPr>
              <w:rPr>
                <w:rFonts w:ascii="Calibri" w:hAnsi="Calibri" w:cs="Calibri"/>
              </w:rPr>
            </w:pPr>
            <w:r>
              <w:rPr>
                <w:rFonts w:ascii="Calibri" w:hAnsi="Calibri" w:cs="Calibri"/>
              </w:rPr>
              <w:t>X</w:t>
            </w:r>
          </w:p>
        </w:tc>
      </w:tr>
      <w:tr w:rsidR="008F7AC3" w:rsidRPr="004F276F" w14:paraId="121E4C9B" w14:textId="77777777" w:rsidTr="00C37D48">
        <w:trPr>
          <w:trHeight w:val="440"/>
        </w:trPr>
        <w:tc>
          <w:tcPr>
            <w:tcW w:w="1066" w:type="dxa"/>
            <w:vAlign w:val="center"/>
          </w:tcPr>
          <w:p w14:paraId="1DC0DA30" w14:textId="5467477C" w:rsidR="008F7AC3" w:rsidRPr="00C37D48" w:rsidRDefault="008F7AC3" w:rsidP="008F7AC3">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8F7AC3" w:rsidRPr="00C37D48" w:rsidRDefault="008F7AC3" w:rsidP="008F7AC3">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8F7AC3" w:rsidRPr="00C37D48" w:rsidRDefault="008F7AC3" w:rsidP="008F7AC3">
            <w:pPr>
              <w:rPr>
                <w:rFonts w:ascii="Calibri" w:hAnsi="Calibri" w:cs="Calibri"/>
              </w:rPr>
            </w:pPr>
          </w:p>
        </w:tc>
      </w:tr>
      <w:tr w:rsidR="008F7AC3" w:rsidRPr="004F276F" w14:paraId="546C6519" w14:textId="77777777" w:rsidTr="00C37D48">
        <w:trPr>
          <w:trHeight w:val="440"/>
        </w:trPr>
        <w:tc>
          <w:tcPr>
            <w:tcW w:w="1066" w:type="dxa"/>
            <w:vAlign w:val="center"/>
          </w:tcPr>
          <w:p w14:paraId="2F6D7E2C" w14:textId="7C177159" w:rsidR="008F7AC3" w:rsidRPr="00C37D48" w:rsidRDefault="008F7AC3" w:rsidP="008F7AC3">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8F7AC3" w:rsidRPr="00C37D48" w:rsidRDefault="008F7AC3" w:rsidP="008F7AC3">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8F7AC3" w:rsidRPr="00C37D48" w:rsidRDefault="008F7AC3" w:rsidP="008F7AC3">
            <w:pPr>
              <w:rPr>
                <w:rFonts w:ascii="Calibri" w:hAnsi="Calibri" w:cs="Calibri"/>
              </w:rPr>
            </w:pPr>
          </w:p>
        </w:tc>
      </w:tr>
      <w:tr w:rsidR="008F7AC3" w:rsidRPr="004F276F" w14:paraId="095574F0" w14:textId="77777777" w:rsidTr="00C37D48">
        <w:trPr>
          <w:trHeight w:val="889"/>
        </w:trPr>
        <w:tc>
          <w:tcPr>
            <w:tcW w:w="1066" w:type="dxa"/>
            <w:vAlign w:val="center"/>
          </w:tcPr>
          <w:p w14:paraId="5D6F449A" w14:textId="431482DE" w:rsidR="008F7AC3" w:rsidRPr="00C37D48" w:rsidRDefault="008F7AC3" w:rsidP="008F7AC3">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8F7AC3" w:rsidRPr="00C37D48" w:rsidRDefault="008F7AC3" w:rsidP="008F7AC3">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8F7AC3" w:rsidRPr="004F276F" w14:paraId="2DB82622" w14:textId="77777777" w:rsidTr="00C37D48">
        <w:trPr>
          <w:trHeight w:val="1020"/>
        </w:trPr>
        <w:tc>
          <w:tcPr>
            <w:tcW w:w="1066" w:type="dxa"/>
            <w:vAlign w:val="center"/>
          </w:tcPr>
          <w:p w14:paraId="2E73CED1" w14:textId="77777777" w:rsidR="008F7AC3" w:rsidRPr="00C37D48" w:rsidRDefault="008F7AC3" w:rsidP="008F7AC3">
            <w:pPr>
              <w:rPr>
                <w:rFonts w:ascii="Calibri" w:hAnsi="Calibri" w:cs="Calibri"/>
              </w:rPr>
            </w:pPr>
          </w:p>
        </w:tc>
        <w:tc>
          <w:tcPr>
            <w:tcW w:w="9376" w:type="dxa"/>
            <w:gridSpan w:val="5"/>
            <w:vAlign w:val="center"/>
          </w:tcPr>
          <w:p w14:paraId="2BD1E12C" w14:textId="00FE3204" w:rsidR="008F7AC3" w:rsidRPr="00C37D48" w:rsidRDefault="00CD6C8B" w:rsidP="008F7AC3">
            <w:pPr>
              <w:rPr>
                <w:rFonts w:ascii="Calibri" w:hAnsi="Calibri" w:cs="Calibri"/>
              </w:rPr>
            </w:pPr>
            <w:r>
              <w:rPr>
                <w:rFonts w:ascii="Calibri" w:hAnsi="Calibri" w:cs="Calibri"/>
              </w:rPr>
              <w:t>Not applicable</w:t>
            </w:r>
          </w:p>
        </w:tc>
      </w:tr>
      <w:tr w:rsidR="008F7AC3" w:rsidRPr="004F276F" w14:paraId="1CAFA634" w14:textId="77777777" w:rsidTr="00C37D48">
        <w:trPr>
          <w:trHeight w:val="22"/>
        </w:trPr>
        <w:tc>
          <w:tcPr>
            <w:tcW w:w="1066" w:type="dxa"/>
            <w:vAlign w:val="center"/>
          </w:tcPr>
          <w:p w14:paraId="0C9BB554" w14:textId="181FBEFB" w:rsidR="008F7AC3" w:rsidRPr="00C37D48" w:rsidRDefault="008F7AC3" w:rsidP="008F7AC3">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8F7AC3" w:rsidRPr="00C37D48" w:rsidRDefault="008F7AC3" w:rsidP="008F7AC3">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8F7AC3" w:rsidRPr="004F276F" w14:paraId="6EF1F308" w14:textId="77777777" w:rsidTr="00C37D48">
        <w:trPr>
          <w:trHeight w:val="23"/>
        </w:trPr>
        <w:tc>
          <w:tcPr>
            <w:tcW w:w="1066" w:type="dxa"/>
            <w:vAlign w:val="center"/>
          </w:tcPr>
          <w:p w14:paraId="3992D28E" w14:textId="2F803C40" w:rsidR="008F7AC3" w:rsidRPr="00C37D48" w:rsidRDefault="008F7AC3" w:rsidP="008F7AC3">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8F7AC3" w:rsidRPr="00C37D48" w:rsidRDefault="008F7AC3" w:rsidP="008F7AC3">
            <w:pPr>
              <w:rPr>
                <w:rFonts w:ascii="Calibri" w:hAnsi="Calibri" w:cs="Calibri"/>
              </w:rPr>
            </w:pPr>
            <w:r w:rsidRPr="00C37D48">
              <w:rPr>
                <w:rFonts w:ascii="Calibri" w:hAnsi="Calibri" w:cs="Calibri"/>
              </w:rPr>
              <w:t>Monetary fine</w:t>
            </w:r>
          </w:p>
        </w:tc>
        <w:tc>
          <w:tcPr>
            <w:tcW w:w="4894" w:type="dxa"/>
            <w:gridSpan w:val="4"/>
            <w:vAlign w:val="center"/>
          </w:tcPr>
          <w:p w14:paraId="33D0DE6E" w14:textId="42E234F4" w:rsidR="008F7AC3" w:rsidRPr="00C37D48" w:rsidRDefault="00CD6C8B" w:rsidP="008F7AC3">
            <w:pPr>
              <w:rPr>
                <w:rFonts w:ascii="Calibri" w:hAnsi="Calibri" w:cs="Calibri"/>
              </w:rPr>
            </w:pPr>
            <w:r>
              <w:rPr>
                <w:rFonts w:ascii="Calibri" w:hAnsi="Calibri" w:cs="Calibri"/>
              </w:rPr>
              <w:t>X</w:t>
            </w:r>
          </w:p>
        </w:tc>
      </w:tr>
      <w:tr w:rsidR="008F7AC3" w:rsidRPr="004F276F" w14:paraId="673259F0" w14:textId="77777777" w:rsidTr="00C37D48">
        <w:trPr>
          <w:trHeight w:val="20"/>
        </w:trPr>
        <w:tc>
          <w:tcPr>
            <w:tcW w:w="1066" w:type="dxa"/>
            <w:vAlign w:val="center"/>
          </w:tcPr>
          <w:p w14:paraId="53056846" w14:textId="2E21F7E7" w:rsidR="008F7AC3" w:rsidRPr="00C37D48" w:rsidRDefault="008F7AC3" w:rsidP="008F7AC3">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8F7AC3" w:rsidRPr="00C37D48" w:rsidRDefault="008F7AC3" w:rsidP="008F7AC3">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3ADA024C" w:rsidR="008F7AC3" w:rsidRPr="00C37D48" w:rsidRDefault="00CD6C8B" w:rsidP="008F7AC3">
            <w:pPr>
              <w:rPr>
                <w:rFonts w:ascii="Calibri" w:hAnsi="Calibri" w:cs="Calibri"/>
              </w:rPr>
            </w:pPr>
            <w:r>
              <w:rPr>
                <w:rFonts w:ascii="Calibri" w:hAnsi="Calibri" w:cs="Calibri"/>
              </w:rPr>
              <w:t>X</w:t>
            </w:r>
          </w:p>
        </w:tc>
      </w:tr>
      <w:tr w:rsidR="008F7AC3" w:rsidRPr="004F276F" w14:paraId="4A8460FF" w14:textId="77777777" w:rsidTr="00C37D48">
        <w:trPr>
          <w:trHeight w:val="20"/>
        </w:trPr>
        <w:tc>
          <w:tcPr>
            <w:tcW w:w="1066" w:type="dxa"/>
            <w:vAlign w:val="center"/>
          </w:tcPr>
          <w:p w14:paraId="11B13491" w14:textId="6F835DFE" w:rsidR="008F7AC3" w:rsidRPr="00C37D48" w:rsidRDefault="008F7AC3" w:rsidP="008F7AC3">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8F7AC3" w:rsidRPr="00C37D48" w:rsidRDefault="008F7AC3" w:rsidP="008F7AC3">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8F7AC3" w:rsidRPr="00C37D48" w:rsidRDefault="008F7AC3" w:rsidP="008F7AC3">
            <w:pPr>
              <w:rPr>
                <w:rFonts w:ascii="Calibri" w:hAnsi="Calibri" w:cs="Calibri"/>
              </w:rPr>
            </w:pPr>
          </w:p>
        </w:tc>
      </w:tr>
      <w:tr w:rsidR="008F7AC3" w:rsidRPr="004F276F" w14:paraId="6355C223" w14:textId="77777777" w:rsidTr="00C37D48">
        <w:trPr>
          <w:trHeight w:val="20"/>
        </w:trPr>
        <w:tc>
          <w:tcPr>
            <w:tcW w:w="1066" w:type="dxa"/>
            <w:vAlign w:val="center"/>
          </w:tcPr>
          <w:p w14:paraId="538A0155" w14:textId="3CD33508" w:rsidR="008F7AC3" w:rsidRPr="00C37D48" w:rsidRDefault="008F7AC3" w:rsidP="008F7AC3">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8F7AC3" w:rsidRPr="00C37D48" w:rsidRDefault="008F7AC3" w:rsidP="008F7AC3">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5364F545" w:rsidR="008F7AC3" w:rsidRPr="00C37D48" w:rsidRDefault="00CD6C8B" w:rsidP="008F7AC3">
            <w:pPr>
              <w:rPr>
                <w:rFonts w:ascii="Calibri" w:hAnsi="Calibri" w:cs="Calibri"/>
              </w:rPr>
            </w:pPr>
            <w:r>
              <w:rPr>
                <w:rFonts w:ascii="Calibri" w:hAnsi="Calibri" w:cs="Calibri"/>
              </w:rPr>
              <w:t>X</w:t>
            </w:r>
          </w:p>
        </w:tc>
      </w:tr>
      <w:tr w:rsidR="008F7AC3" w:rsidRPr="004F276F" w14:paraId="6B041451" w14:textId="77777777" w:rsidTr="00C37D48">
        <w:trPr>
          <w:trHeight w:val="20"/>
        </w:trPr>
        <w:tc>
          <w:tcPr>
            <w:tcW w:w="1066" w:type="dxa"/>
            <w:vAlign w:val="center"/>
          </w:tcPr>
          <w:p w14:paraId="6C05AF8C" w14:textId="4AA1D8A1" w:rsidR="008F7AC3" w:rsidRPr="00C37D48" w:rsidRDefault="008F7AC3" w:rsidP="008F7AC3">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8F7AC3" w:rsidRPr="00C37D48" w:rsidRDefault="008F7AC3" w:rsidP="008F7AC3">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8F7AC3" w:rsidRPr="00C37D48" w:rsidRDefault="008F7AC3" w:rsidP="008F7AC3">
            <w:pPr>
              <w:rPr>
                <w:rFonts w:ascii="Calibri" w:hAnsi="Calibri" w:cs="Calibri"/>
              </w:rPr>
            </w:pPr>
          </w:p>
        </w:tc>
      </w:tr>
      <w:tr w:rsidR="008F7AC3" w:rsidRPr="004F276F" w14:paraId="17639D54" w14:textId="77777777" w:rsidTr="00C37D48">
        <w:trPr>
          <w:trHeight w:val="20"/>
        </w:trPr>
        <w:tc>
          <w:tcPr>
            <w:tcW w:w="1066" w:type="dxa"/>
            <w:vAlign w:val="center"/>
          </w:tcPr>
          <w:p w14:paraId="168C5F77" w14:textId="125AC24B" w:rsidR="008F7AC3" w:rsidRPr="00C37D48" w:rsidRDefault="008F7AC3" w:rsidP="008F7AC3">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8F7AC3" w:rsidRPr="00C37D48" w:rsidRDefault="008F7AC3" w:rsidP="008F7AC3">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8F7AC3" w:rsidRPr="00C37D48" w:rsidRDefault="008F7AC3" w:rsidP="008F7AC3">
            <w:pPr>
              <w:rPr>
                <w:rFonts w:ascii="Calibri" w:hAnsi="Calibri" w:cs="Calibri"/>
              </w:rPr>
            </w:pPr>
          </w:p>
        </w:tc>
      </w:tr>
      <w:tr w:rsidR="008F7AC3" w:rsidRPr="004F276F" w14:paraId="00034212" w14:textId="77777777" w:rsidTr="00C37D48">
        <w:trPr>
          <w:trHeight w:val="20"/>
        </w:trPr>
        <w:tc>
          <w:tcPr>
            <w:tcW w:w="1066" w:type="dxa"/>
            <w:vAlign w:val="center"/>
          </w:tcPr>
          <w:p w14:paraId="639752FD" w14:textId="7A051CC9" w:rsidR="008F7AC3" w:rsidRPr="00C37D48" w:rsidRDefault="008F7AC3" w:rsidP="008F7AC3">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8F7AC3" w:rsidRPr="00C37D48" w:rsidRDefault="008F7AC3" w:rsidP="008F7AC3">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8F7AC3" w:rsidRPr="00C37D48" w:rsidRDefault="008F7AC3" w:rsidP="008F7AC3">
            <w:pPr>
              <w:rPr>
                <w:rFonts w:ascii="Calibri" w:hAnsi="Calibri" w:cs="Calibri"/>
              </w:rPr>
            </w:pPr>
          </w:p>
        </w:tc>
      </w:tr>
      <w:tr w:rsidR="008F7AC3" w:rsidRPr="004F276F" w14:paraId="7F736B75" w14:textId="77777777" w:rsidTr="00C37D48">
        <w:trPr>
          <w:trHeight w:val="20"/>
        </w:trPr>
        <w:tc>
          <w:tcPr>
            <w:tcW w:w="1066" w:type="dxa"/>
            <w:vAlign w:val="center"/>
          </w:tcPr>
          <w:p w14:paraId="180A5228" w14:textId="10EE8714" w:rsidR="008F7AC3" w:rsidRPr="00C37D48" w:rsidRDefault="008F7AC3" w:rsidP="008F7AC3">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8F7AC3" w:rsidRPr="00C37D48" w:rsidRDefault="008F7AC3" w:rsidP="008F7AC3">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8F7AC3" w:rsidRPr="00C37D48" w:rsidRDefault="008F7AC3" w:rsidP="008F7AC3">
            <w:pPr>
              <w:rPr>
                <w:rFonts w:ascii="Calibri" w:hAnsi="Calibri" w:cs="Calibri"/>
              </w:rPr>
            </w:pPr>
          </w:p>
        </w:tc>
      </w:tr>
      <w:tr w:rsidR="008F7AC3" w:rsidRPr="004F276F" w14:paraId="47DD5311" w14:textId="77777777" w:rsidTr="00C37D48">
        <w:trPr>
          <w:trHeight w:val="20"/>
        </w:trPr>
        <w:tc>
          <w:tcPr>
            <w:tcW w:w="1066" w:type="dxa"/>
            <w:vAlign w:val="center"/>
          </w:tcPr>
          <w:p w14:paraId="09EE7160" w14:textId="76415171" w:rsidR="008F7AC3" w:rsidRPr="00C37D48" w:rsidRDefault="008F7AC3" w:rsidP="008F7AC3">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8F7AC3" w:rsidRPr="00C37D48" w:rsidRDefault="008F7AC3" w:rsidP="008F7AC3">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8F7AC3" w:rsidRPr="00C37D48" w:rsidRDefault="008F7AC3" w:rsidP="008F7AC3">
            <w:pPr>
              <w:rPr>
                <w:rFonts w:ascii="Calibri" w:hAnsi="Calibri" w:cs="Calibri"/>
              </w:rPr>
            </w:pPr>
          </w:p>
        </w:tc>
      </w:tr>
      <w:tr w:rsidR="008F7AC3" w:rsidRPr="004F276F" w14:paraId="30665941" w14:textId="77777777" w:rsidTr="00C37D48">
        <w:trPr>
          <w:trHeight w:val="20"/>
        </w:trPr>
        <w:tc>
          <w:tcPr>
            <w:tcW w:w="1066" w:type="dxa"/>
            <w:vAlign w:val="center"/>
          </w:tcPr>
          <w:p w14:paraId="10C89A81" w14:textId="2008AB08" w:rsidR="008F7AC3" w:rsidRPr="00C37D48" w:rsidRDefault="008F7AC3" w:rsidP="008F7AC3">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8F7AC3" w:rsidRPr="00C37D48" w:rsidRDefault="008F7AC3" w:rsidP="008F7AC3">
            <w:pPr>
              <w:rPr>
                <w:rFonts w:ascii="Calibri" w:hAnsi="Calibri" w:cs="Calibri"/>
              </w:rPr>
            </w:pPr>
            <w:r w:rsidRPr="00C37D48">
              <w:rPr>
                <w:rFonts w:ascii="Calibri" w:hAnsi="Calibri" w:cs="Calibri"/>
              </w:rPr>
              <w:t>Other</w:t>
            </w:r>
          </w:p>
        </w:tc>
        <w:tc>
          <w:tcPr>
            <w:tcW w:w="4894" w:type="dxa"/>
            <w:gridSpan w:val="4"/>
            <w:vAlign w:val="center"/>
          </w:tcPr>
          <w:p w14:paraId="14378141" w14:textId="7DDF7A44" w:rsidR="008F7AC3" w:rsidRPr="00C37D48" w:rsidRDefault="00C53D25" w:rsidP="008F7AC3">
            <w:pPr>
              <w:rPr>
                <w:rFonts w:ascii="Calibri" w:hAnsi="Calibri" w:cs="Calibri"/>
              </w:rPr>
            </w:pPr>
            <w:r>
              <w:rPr>
                <w:rFonts w:ascii="Calibri" w:hAnsi="Calibri" w:cs="Calibri"/>
              </w:rPr>
              <w:t>X</w:t>
            </w:r>
          </w:p>
        </w:tc>
      </w:tr>
      <w:tr w:rsidR="008F7AC3" w:rsidRPr="004F276F" w14:paraId="46D4883D" w14:textId="77777777" w:rsidTr="00C37D48">
        <w:trPr>
          <w:trHeight w:val="20"/>
        </w:trPr>
        <w:tc>
          <w:tcPr>
            <w:tcW w:w="1066" w:type="dxa"/>
            <w:vAlign w:val="center"/>
          </w:tcPr>
          <w:p w14:paraId="1C271DE9" w14:textId="30914324" w:rsidR="008F7AC3" w:rsidRPr="00C37D48" w:rsidRDefault="008F7AC3" w:rsidP="008F7AC3">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8F7AC3" w:rsidRPr="00C37D48" w:rsidRDefault="008F7AC3" w:rsidP="008F7AC3">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8F7AC3" w:rsidRPr="004F276F" w14:paraId="1665B049" w14:textId="77777777" w:rsidTr="00C37D48">
        <w:trPr>
          <w:trHeight w:val="1020"/>
        </w:trPr>
        <w:tc>
          <w:tcPr>
            <w:tcW w:w="1066" w:type="dxa"/>
            <w:vAlign w:val="center"/>
          </w:tcPr>
          <w:p w14:paraId="2DBDC4DF" w14:textId="77777777" w:rsidR="008F7AC3" w:rsidRPr="00C37D48" w:rsidRDefault="008F7AC3" w:rsidP="008F7AC3">
            <w:pPr>
              <w:rPr>
                <w:rFonts w:ascii="Calibri" w:hAnsi="Calibri" w:cs="Calibri"/>
                <w:b/>
                <w:bCs/>
              </w:rPr>
            </w:pPr>
          </w:p>
        </w:tc>
        <w:tc>
          <w:tcPr>
            <w:tcW w:w="9376" w:type="dxa"/>
            <w:gridSpan w:val="5"/>
            <w:vAlign w:val="center"/>
          </w:tcPr>
          <w:p w14:paraId="643668F7" w14:textId="71DEA992" w:rsidR="008F7AC3" w:rsidRPr="00C37D48" w:rsidRDefault="00C53D25" w:rsidP="00E6028D">
            <w:pPr>
              <w:jc w:val="both"/>
              <w:rPr>
                <w:rFonts w:ascii="Calibri" w:hAnsi="Calibri" w:cs="Calibri"/>
              </w:rPr>
            </w:pPr>
            <w:r>
              <w:rPr>
                <w:rFonts w:ascii="Calibri" w:hAnsi="Calibri" w:cs="Calibri"/>
              </w:rPr>
              <w:t>In cases of non-compliance, e</w:t>
            </w:r>
            <w:r w:rsidRPr="00C53D25">
              <w:rPr>
                <w:rFonts w:ascii="Calibri" w:hAnsi="Calibri" w:cs="Calibri"/>
              </w:rPr>
              <w:t xml:space="preserve">nforcement via </w:t>
            </w:r>
            <w:r w:rsidR="00C3440C">
              <w:rPr>
                <w:rFonts w:ascii="Calibri" w:hAnsi="Calibri" w:cs="Calibri"/>
              </w:rPr>
              <w:t>RECs</w:t>
            </w:r>
            <w:r w:rsidRPr="00C53D25">
              <w:rPr>
                <w:rFonts w:ascii="Calibri" w:hAnsi="Calibri" w:cs="Calibri"/>
              </w:rPr>
              <w:t xml:space="preserve"> and purchase obligations imposed by regulatory commissions.</w:t>
            </w:r>
            <w:r w:rsidR="00C3440C">
              <w:rPr>
                <w:rFonts w:ascii="Calibri" w:hAnsi="Calibri" w:cs="Calibri"/>
              </w:rPr>
              <w:t xml:space="preserve"> </w:t>
            </w:r>
            <w:r w:rsidRPr="00C53D25">
              <w:rPr>
                <w:rFonts w:ascii="Calibri" w:hAnsi="Calibri" w:cs="Calibri"/>
              </w:rPr>
              <w:t>These sanctions stem from Section 142 of the Act,</w:t>
            </w:r>
            <w:r w:rsidR="00C3440C">
              <w:rPr>
                <w:rFonts w:ascii="Calibri" w:hAnsi="Calibri" w:cs="Calibri"/>
              </w:rPr>
              <w:t xml:space="preserve"> </w:t>
            </w:r>
            <w:r w:rsidRPr="00C53D25">
              <w:rPr>
                <w:rFonts w:ascii="Calibri" w:hAnsi="Calibri" w:cs="Calibri"/>
              </w:rPr>
              <w:t xml:space="preserve">which empowers the </w:t>
            </w:r>
            <w:r w:rsidR="00E23A3D">
              <w:rPr>
                <w:rFonts w:ascii="Calibri" w:hAnsi="Calibri" w:cs="Calibri"/>
              </w:rPr>
              <w:t>SERCs</w:t>
            </w:r>
            <w:r w:rsidRPr="00C53D25">
              <w:rPr>
                <w:rFonts w:ascii="Calibri" w:hAnsi="Calibri" w:cs="Calibri"/>
              </w:rPr>
              <w:t xml:space="preserve"> to impose penalties for </w:t>
            </w:r>
            <w:r w:rsidR="001B7D8F">
              <w:rPr>
                <w:rFonts w:ascii="Calibri" w:hAnsi="Calibri" w:cs="Calibri"/>
              </w:rPr>
              <w:t>contravention of provisions of the Act.</w:t>
            </w:r>
          </w:p>
        </w:tc>
      </w:tr>
      <w:tr w:rsidR="008F7AC3" w:rsidRPr="004F276F" w14:paraId="266F37E0" w14:textId="77777777" w:rsidTr="008F7AC3">
        <w:trPr>
          <w:trHeight w:val="1430"/>
        </w:trPr>
        <w:tc>
          <w:tcPr>
            <w:tcW w:w="1066" w:type="dxa"/>
            <w:vAlign w:val="center"/>
          </w:tcPr>
          <w:p w14:paraId="35DCC96C" w14:textId="77777777" w:rsidR="008F7AC3" w:rsidRPr="00C37D48" w:rsidRDefault="008F7AC3" w:rsidP="008F7AC3">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8F7AC3" w:rsidRPr="00C37D48" w:rsidRDefault="008F7AC3" w:rsidP="008F7AC3">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8F7AC3" w:rsidRPr="00C37D48" w:rsidRDefault="008F7AC3" w:rsidP="008F7AC3">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8F7AC3" w:rsidRPr="00C37D48" w:rsidRDefault="008F7AC3" w:rsidP="008F7AC3">
            <w:pPr>
              <w:rPr>
                <w:rFonts w:ascii="Calibri" w:hAnsi="Calibri" w:cs="Calibri"/>
              </w:rPr>
            </w:pPr>
            <w:r w:rsidRPr="00C37D48">
              <w:rPr>
                <w:rFonts w:ascii="Calibri" w:hAnsi="Calibri" w:cs="Calibri"/>
              </w:rPr>
              <w:t xml:space="preserve">Select the appropriate response using an X.   </w:t>
            </w:r>
          </w:p>
        </w:tc>
      </w:tr>
      <w:tr w:rsidR="008F7AC3" w:rsidRPr="004F276F" w14:paraId="0352DB15" w14:textId="77777777" w:rsidTr="008F7AC3">
        <w:trPr>
          <w:trHeight w:val="440"/>
        </w:trPr>
        <w:tc>
          <w:tcPr>
            <w:tcW w:w="1066" w:type="dxa"/>
            <w:vAlign w:val="center"/>
          </w:tcPr>
          <w:p w14:paraId="13BF45D9" w14:textId="77777777" w:rsidR="008F7AC3" w:rsidRPr="00C37D48" w:rsidRDefault="008F7AC3" w:rsidP="008F7AC3">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8F7AC3" w:rsidRPr="00C37D48" w:rsidRDefault="008F7AC3" w:rsidP="008F7AC3">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7777777" w:rsidR="008F7AC3" w:rsidRPr="00C37D48" w:rsidRDefault="008F7AC3" w:rsidP="008F7AC3">
            <w:pPr>
              <w:rPr>
                <w:rFonts w:ascii="Calibri" w:hAnsi="Calibri" w:cs="Calibri"/>
              </w:rPr>
            </w:pPr>
          </w:p>
        </w:tc>
      </w:tr>
      <w:tr w:rsidR="008F7AC3" w:rsidRPr="004F276F" w14:paraId="4CAD326F" w14:textId="77777777" w:rsidTr="008F7AC3">
        <w:trPr>
          <w:trHeight w:val="440"/>
        </w:trPr>
        <w:tc>
          <w:tcPr>
            <w:tcW w:w="1066" w:type="dxa"/>
            <w:vAlign w:val="center"/>
          </w:tcPr>
          <w:p w14:paraId="1CAB7332" w14:textId="77777777" w:rsidR="008F7AC3" w:rsidRPr="00C37D48" w:rsidRDefault="008F7AC3" w:rsidP="008F7AC3">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8F7AC3" w:rsidRPr="00C37D48" w:rsidRDefault="008F7AC3" w:rsidP="008F7AC3">
            <w:pPr>
              <w:rPr>
                <w:rFonts w:ascii="Calibri" w:hAnsi="Calibri" w:cs="Calibri"/>
              </w:rPr>
            </w:pPr>
            <w:r w:rsidRPr="00C37D48">
              <w:rPr>
                <w:rFonts w:ascii="Calibri" w:hAnsi="Calibri" w:cs="Calibri"/>
              </w:rPr>
              <w:t>Yes</w:t>
            </w:r>
          </w:p>
        </w:tc>
        <w:tc>
          <w:tcPr>
            <w:tcW w:w="4592" w:type="dxa"/>
            <w:gridSpan w:val="3"/>
            <w:vAlign w:val="center"/>
          </w:tcPr>
          <w:p w14:paraId="581F87E5" w14:textId="29CFD24F" w:rsidR="008F7AC3" w:rsidRPr="00C37D48" w:rsidRDefault="008F7AC3" w:rsidP="008F7AC3">
            <w:pPr>
              <w:rPr>
                <w:rFonts w:ascii="Calibri" w:hAnsi="Calibri" w:cs="Calibri"/>
              </w:rPr>
            </w:pPr>
          </w:p>
        </w:tc>
      </w:tr>
      <w:tr w:rsidR="008F7AC3" w:rsidRPr="004F276F" w14:paraId="720E8005" w14:textId="77777777" w:rsidTr="008F7AC3">
        <w:trPr>
          <w:trHeight w:val="890"/>
        </w:trPr>
        <w:tc>
          <w:tcPr>
            <w:tcW w:w="1066" w:type="dxa"/>
            <w:vAlign w:val="center"/>
          </w:tcPr>
          <w:p w14:paraId="2B74A8CA" w14:textId="77777777" w:rsidR="008F7AC3" w:rsidRPr="00C37D48" w:rsidRDefault="008F7AC3" w:rsidP="008F7AC3">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8F7AC3" w:rsidRPr="00C37D48" w:rsidRDefault="008F7AC3" w:rsidP="008F7AC3">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8F7AC3" w:rsidRPr="004F276F" w14:paraId="42EAA77C" w14:textId="77777777" w:rsidTr="008F7AC3">
        <w:trPr>
          <w:trHeight w:val="1020"/>
        </w:trPr>
        <w:tc>
          <w:tcPr>
            <w:tcW w:w="1066" w:type="dxa"/>
            <w:vAlign w:val="center"/>
          </w:tcPr>
          <w:p w14:paraId="31524185" w14:textId="77777777" w:rsidR="008F7AC3" w:rsidRPr="00C37D48" w:rsidRDefault="008F7AC3" w:rsidP="008F7AC3">
            <w:pPr>
              <w:rPr>
                <w:rFonts w:ascii="Calibri" w:hAnsi="Calibri" w:cs="Calibri"/>
              </w:rPr>
            </w:pPr>
          </w:p>
        </w:tc>
        <w:tc>
          <w:tcPr>
            <w:tcW w:w="9376" w:type="dxa"/>
            <w:gridSpan w:val="5"/>
            <w:vAlign w:val="center"/>
          </w:tcPr>
          <w:p w14:paraId="3BA84EFA" w14:textId="77777777" w:rsidR="008F7AC3" w:rsidRPr="00C37D48" w:rsidRDefault="008F7AC3" w:rsidP="008F7AC3">
            <w:pPr>
              <w:rPr>
                <w:rFonts w:ascii="Calibri" w:hAnsi="Calibri" w:cs="Calibri"/>
              </w:rPr>
            </w:pPr>
          </w:p>
        </w:tc>
      </w:tr>
      <w:tr w:rsidR="008F7AC3" w:rsidRPr="004F276F" w14:paraId="6F421B4D" w14:textId="77777777" w:rsidTr="008F7AC3">
        <w:trPr>
          <w:trHeight w:val="1475"/>
        </w:trPr>
        <w:tc>
          <w:tcPr>
            <w:tcW w:w="1066" w:type="dxa"/>
            <w:vAlign w:val="center"/>
          </w:tcPr>
          <w:p w14:paraId="3F2811A5" w14:textId="77777777" w:rsidR="008F7AC3" w:rsidRPr="00C37D48" w:rsidRDefault="008F7AC3" w:rsidP="008F7AC3">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8F7AC3" w:rsidRPr="00C37D48" w:rsidRDefault="008F7AC3" w:rsidP="008F7AC3">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8F7AC3" w:rsidRPr="00C37D48" w:rsidRDefault="008F7AC3" w:rsidP="008F7AC3">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8F7AC3" w:rsidRPr="00C37D48" w:rsidRDefault="008F7AC3" w:rsidP="008F7AC3">
            <w:pPr>
              <w:rPr>
                <w:rFonts w:ascii="Calibri" w:hAnsi="Calibri" w:cs="Calibri"/>
              </w:rPr>
            </w:pPr>
            <w:r w:rsidRPr="00C37D48">
              <w:rPr>
                <w:rFonts w:ascii="Calibri" w:hAnsi="Calibri" w:cs="Calibri"/>
              </w:rPr>
              <w:t xml:space="preserve">Select the appropriate response using an X.   </w:t>
            </w:r>
          </w:p>
        </w:tc>
      </w:tr>
      <w:tr w:rsidR="008F7AC3" w:rsidRPr="004F276F" w14:paraId="37C78339" w14:textId="77777777" w:rsidTr="008F7AC3">
        <w:trPr>
          <w:trHeight w:val="440"/>
        </w:trPr>
        <w:tc>
          <w:tcPr>
            <w:tcW w:w="1066" w:type="dxa"/>
            <w:vAlign w:val="center"/>
          </w:tcPr>
          <w:p w14:paraId="561E4A57" w14:textId="77777777" w:rsidR="008F7AC3" w:rsidRPr="00C37D48" w:rsidRDefault="008F7AC3" w:rsidP="008F7AC3">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8F7AC3" w:rsidRPr="00C37D48" w:rsidRDefault="008F7AC3" w:rsidP="008F7AC3">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77777777" w:rsidR="008F7AC3" w:rsidRPr="00C37D48" w:rsidRDefault="008F7AC3" w:rsidP="008F7AC3">
            <w:pPr>
              <w:rPr>
                <w:rFonts w:ascii="Calibri" w:hAnsi="Calibri" w:cs="Calibri"/>
              </w:rPr>
            </w:pPr>
          </w:p>
        </w:tc>
      </w:tr>
      <w:tr w:rsidR="008F7AC3" w:rsidRPr="004F276F" w14:paraId="03B3B2C2" w14:textId="77777777" w:rsidTr="008F7AC3">
        <w:trPr>
          <w:trHeight w:val="440"/>
        </w:trPr>
        <w:tc>
          <w:tcPr>
            <w:tcW w:w="1066" w:type="dxa"/>
            <w:vAlign w:val="center"/>
          </w:tcPr>
          <w:p w14:paraId="7C01F4A6" w14:textId="77777777" w:rsidR="008F7AC3" w:rsidRPr="00C37D48" w:rsidRDefault="008F7AC3" w:rsidP="008F7AC3">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8F7AC3" w:rsidRPr="00C37D48" w:rsidRDefault="008F7AC3" w:rsidP="008F7AC3">
            <w:pPr>
              <w:rPr>
                <w:rFonts w:ascii="Calibri" w:hAnsi="Calibri" w:cs="Calibri"/>
              </w:rPr>
            </w:pPr>
            <w:r w:rsidRPr="00C37D48">
              <w:rPr>
                <w:rFonts w:ascii="Calibri" w:hAnsi="Calibri" w:cs="Calibri"/>
              </w:rPr>
              <w:t>Yes</w:t>
            </w:r>
          </w:p>
        </w:tc>
        <w:tc>
          <w:tcPr>
            <w:tcW w:w="4592" w:type="dxa"/>
            <w:gridSpan w:val="3"/>
            <w:vAlign w:val="center"/>
          </w:tcPr>
          <w:p w14:paraId="723F5BDA" w14:textId="3362C90D" w:rsidR="008F7AC3" w:rsidRPr="00C37D48" w:rsidRDefault="00623356" w:rsidP="008F7AC3">
            <w:pPr>
              <w:rPr>
                <w:rFonts w:ascii="Calibri" w:hAnsi="Calibri" w:cs="Calibri"/>
              </w:rPr>
            </w:pPr>
            <w:r>
              <w:rPr>
                <w:rFonts w:ascii="Calibri" w:hAnsi="Calibri" w:cs="Calibri"/>
              </w:rPr>
              <w:t>X</w:t>
            </w:r>
          </w:p>
        </w:tc>
      </w:tr>
      <w:tr w:rsidR="008F7AC3" w:rsidRPr="004F276F" w14:paraId="5A4004CD" w14:textId="77777777" w:rsidTr="008F7AC3">
        <w:trPr>
          <w:trHeight w:val="872"/>
        </w:trPr>
        <w:tc>
          <w:tcPr>
            <w:tcW w:w="1066" w:type="dxa"/>
            <w:vAlign w:val="center"/>
          </w:tcPr>
          <w:p w14:paraId="1FDD79FF" w14:textId="77777777" w:rsidR="008F7AC3" w:rsidRPr="00C37D48" w:rsidRDefault="008F7AC3" w:rsidP="008F7AC3">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8F7AC3" w:rsidRPr="00C37D48" w:rsidRDefault="008F7AC3" w:rsidP="008F7AC3">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63324C" w:rsidRPr="004F276F" w14:paraId="6CF2CF5B" w14:textId="77777777" w:rsidTr="008F7AC3">
        <w:trPr>
          <w:trHeight w:val="1020"/>
        </w:trPr>
        <w:tc>
          <w:tcPr>
            <w:tcW w:w="1066" w:type="dxa"/>
            <w:vAlign w:val="center"/>
          </w:tcPr>
          <w:p w14:paraId="65050689" w14:textId="77777777" w:rsidR="0063324C" w:rsidRPr="00C37D48" w:rsidRDefault="0063324C" w:rsidP="0063324C">
            <w:pPr>
              <w:rPr>
                <w:rFonts w:ascii="Calibri" w:hAnsi="Calibri" w:cs="Calibri"/>
              </w:rPr>
            </w:pPr>
          </w:p>
        </w:tc>
        <w:tc>
          <w:tcPr>
            <w:tcW w:w="9376" w:type="dxa"/>
            <w:gridSpan w:val="5"/>
            <w:vAlign w:val="center"/>
          </w:tcPr>
          <w:p w14:paraId="0CD89C5A" w14:textId="2ECF3124" w:rsidR="0063324C" w:rsidRPr="00C37D48" w:rsidRDefault="0063324C" w:rsidP="00E6028D">
            <w:pPr>
              <w:jc w:val="both"/>
              <w:rPr>
                <w:rFonts w:ascii="Calibri" w:hAnsi="Calibri" w:cs="Calibri"/>
              </w:rPr>
            </w:pPr>
            <w:r w:rsidRPr="008666FD">
              <w:rPr>
                <w:rFonts w:ascii="Calibri" w:hAnsi="Calibri" w:cs="Calibri"/>
              </w:rPr>
              <w:t xml:space="preserve">In Goa and Union Territories, the Joint Electricity Regulatory Commission (JERC) </w:t>
            </w:r>
            <w:hyperlink r:id="rId19" w:history="1">
              <w:r w:rsidRPr="00990DA9">
                <w:rPr>
                  <w:rStyle w:val="Hyperlink"/>
                  <w:rFonts w:ascii="Calibri" w:hAnsi="Calibri" w:cs="Calibri"/>
                </w:rPr>
                <w:t>in 2014</w:t>
              </w:r>
            </w:hyperlink>
            <w:r w:rsidRPr="008666FD">
              <w:rPr>
                <w:rFonts w:ascii="Calibri" w:hAnsi="Calibri" w:cs="Calibri"/>
              </w:rPr>
              <w:t xml:space="preserve"> directed utilities such as Dadra </w:t>
            </w:r>
            <w:r w:rsidR="006D5A96">
              <w:rPr>
                <w:rFonts w:ascii="Calibri" w:hAnsi="Calibri" w:cs="Calibri"/>
              </w:rPr>
              <w:t>and</w:t>
            </w:r>
            <w:r w:rsidRPr="008666FD">
              <w:rPr>
                <w:rFonts w:ascii="Calibri" w:hAnsi="Calibri" w:cs="Calibri"/>
              </w:rPr>
              <w:t xml:space="preserve"> Nagar Haveli to deposit substantial sums (e.g. INR</w:t>
            </w:r>
            <w:r w:rsidRPr="008666FD">
              <w:rPr>
                <w:rFonts w:ascii="Arial" w:hAnsi="Arial" w:cs="Arial"/>
              </w:rPr>
              <w:t> </w:t>
            </w:r>
            <w:r w:rsidRPr="008666FD">
              <w:rPr>
                <w:rFonts w:ascii="Calibri" w:hAnsi="Calibri" w:cs="Calibri"/>
              </w:rPr>
              <w:t>110 crore) for failing to meet solar RPO targets.</w:t>
            </w:r>
            <w:r w:rsidRPr="00990DA9">
              <w:rPr>
                <w:rFonts w:ascii="Calibri" w:hAnsi="Calibri" w:cs="Calibri"/>
              </w:rPr>
              <w:t xml:space="preserve"> Further, </w:t>
            </w:r>
            <w:hyperlink r:id="rId20" w:anchor=":~:text=In%20an%20order%20involving%20Tata%20Steel%20and%20the,%28RPO%29%20for%20Tata%20Steel%20during%20the%20years%202011-14." w:history="1">
              <w:r w:rsidRPr="00990DA9">
                <w:rPr>
                  <w:rStyle w:val="Hyperlink"/>
                  <w:rFonts w:ascii="Calibri" w:hAnsi="Calibri" w:cs="Calibri"/>
                </w:rPr>
                <w:t>i</w:t>
              </w:r>
              <w:r w:rsidRPr="008666FD">
                <w:rPr>
                  <w:rStyle w:val="Hyperlink"/>
                  <w:rFonts w:ascii="Calibri" w:hAnsi="Calibri" w:cs="Calibri"/>
                </w:rPr>
                <w:t>n a recent landmark case</w:t>
              </w:r>
            </w:hyperlink>
            <w:r w:rsidRPr="008666FD">
              <w:rPr>
                <w:rFonts w:ascii="Calibri" w:hAnsi="Calibri" w:cs="Calibri"/>
              </w:rPr>
              <w:t>, Tata Steel Limited, which had defaulted on its RPO obligations, was penalised. The Appellate Tribunal for Electricity (APTEL) ruled that the Jharkhand State Electricity Regulatory Commission (JSERC) erred when exempting the company from its RPO duties. APTEL directed JSERC to calculate the amount owed (under Regulation</w:t>
            </w:r>
            <w:r w:rsidRPr="008666FD">
              <w:rPr>
                <w:rFonts w:ascii="Arial" w:hAnsi="Arial" w:cs="Arial"/>
              </w:rPr>
              <w:t> </w:t>
            </w:r>
            <w:r w:rsidRPr="008666FD">
              <w:rPr>
                <w:rFonts w:ascii="Calibri" w:hAnsi="Calibri" w:cs="Calibri"/>
              </w:rPr>
              <w:t>10 of the state RPO regulations) and ensure Tata Steel deposits funds for REC procurement.</w:t>
            </w:r>
          </w:p>
        </w:tc>
      </w:tr>
      <w:tr w:rsidR="0063324C" w:rsidRPr="004F276F" w14:paraId="073B35A9" w14:textId="77777777" w:rsidTr="008F7AC3">
        <w:trPr>
          <w:trHeight w:val="1070"/>
        </w:trPr>
        <w:tc>
          <w:tcPr>
            <w:tcW w:w="1066" w:type="dxa"/>
            <w:vAlign w:val="center"/>
          </w:tcPr>
          <w:p w14:paraId="3A09CBC6" w14:textId="77777777" w:rsidR="0063324C" w:rsidRPr="00C37D48" w:rsidRDefault="0063324C" w:rsidP="0063324C">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63324C" w:rsidRPr="00C37D48" w:rsidRDefault="0063324C" w:rsidP="0063324C">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63324C" w:rsidRPr="004F276F" w14:paraId="02BB9213" w14:textId="77777777" w:rsidTr="008F7AC3">
        <w:trPr>
          <w:trHeight w:val="440"/>
        </w:trPr>
        <w:tc>
          <w:tcPr>
            <w:tcW w:w="1066" w:type="dxa"/>
            <w:vAlign w:val="center"/>
          </w:tcPr>
          <w:p w14:paraId="0586506A" w14:textId="77777777" w:rsidR="0063324C" w:rsidRPr="00C37D48" w:rsidRDefault="0063324C" w:rsidP="0063324C">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63324C" w:rsidRPr="00C37D48" w:rsidRDefault="0063324C" w:rsidP="0063324C">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77777777" w:rsidR="0063324C" w:rsidRPr="00C37D48" w:rsidRDefault="0063324C" w:rsidP="0063324C">
            <w:pPr>
              <w:rPr>
                <w:rFonts w:ascii="Calibri" w:hAnsi="Calibri" w:cs="Calibri"/>
              </w:rPr>
            </w:pPr>
          </w:p>
        </w:tc>
      </w:tr>
      <w:tr w:rsidR="0063324C" w:rsidRPr="004F276F" w14:paraId="550C7D5C" w14:textId="77777777" w:rsidTr="008F7AC3">
        <w:trPr>
          <w:trHeight w:val="350"/>
        </w:trPr>
        <w:tc>
          <w:tcPr>
            <w:tcW w:w="1066" w:type="dxa"/>
            <w:vAlign w:val="center"/>
          </w:tcPr>
          <w:p w14:paraId="70DF9CD2" w14:textId="77777777" w:rsidR="0063324C" w:rsidRPr="00C37D48" w:rsidRDefault="0063324C" w:rsidP="0063324C">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63324C" w:rsidRPr="00C37D48" w:rsidRDefault="0063324C" w:rsidP="0063324C">
            <w:pPr>
              <w:rPr>
                <w:rFonts w:ascii="Calibri" w:hAnsi="Calibri" w:cs="Calibri"/>
              </w:rPr>
            </w:pPr>
            <w:r w:rsidRPr="00C37D48">
              <w:rPr>
                <w:rFonts w:ascii="Calibri" w:hAnsi="Calibri" w:cs="Calibri"/>
              </w:rPr>
              <w:t>Yes</w:t>
            </w:r>
          </w:p>
        </w:tc>
        <w:tc>
          <w:tcPr>
            <w:tcW w:w="4592" w:type="dxa"/>
            <w:gridSpan w:val="3"/>
            <w:vAlign w:val="center"/>
          </w:tcPr>
          <w:p w14:paraId="2A6DE590" w14:textId="2F39ECAF" w:rsidR="0063324C" w:rsidRPr="00C37D48" w:rsidRDefault="00662A74" w:rsidP="0063324C">
            <w:pPr>
              <w:rPr>
                <w:rFonts w:ascii="Calibri" w:hAnsi="Calibri" w:cs="Calibri"/>
              </w:rPr>
            </w:pPr>
            <w:r>
              <w:rPr>
                <w:rFonts w:ascii="Calibri" w:hAnsi="Calibri" w:cs="Calibri"/>
              </w:rPr>
              <w:t>X</w:t>
            </w:r>
          </w:p>
        </w:tc>
      </w:tr>
      <w:tr w:rsidR="0063324C" w:rsidRPr="004F276F" w14:paraId="0D7683EB" w14:textId="77777777" w:rsidTr="008F7AC3">
        <w:trPr>
          <w:trHeight w:val="766"/>
        </w:trPr>
        <w:tc>
          <w:tcPr>
            <w:tcW w:w="1066" w:type="dxa"/>
            <w:vAlign w:val="center"/>
          </w:tcPr>
          <w:p w14:paraId="5B32072A" w14:textId="77777777" w:rsidR="0063324C" w:rsidRPr="00C37D48" w:rsidRDefault="0063324C" w:rsidP="0063324C">
            <w:pPr>
              <w:rPr>
                <w:rFonts w:ascii="Calibri" w:hAnsi="Calibri" w:cs="Calibri"/>
                <w:b/>
              </w:rPr>
            </w:pPr>
            <w:r w:rsidRPr="00C37D48">
              <w:rPr>
                <w:rFonts w:ascii="Calibri" w:hAnsi="Calibri" w:cs="Calibri"/>
                <w:b/>
                <w:bCs/>
              </w:rPr>
              <w:lastRenderedPageBreak/>
              <w:t>2.15</w:t>
            </w:r>
          </w:p>
        </w:tc>
        <w:tc>
          <w:tcPr>
            <w:tcW w:w="9376" w:type="dxa"/>
            <w:gridSpan w:val="5"/>
            <w:shd w:val="clear" w:color="auto" w:fill="DEEAF6" w:themeFill="accent5" w:themeFillTint="33"/>
            <w:vAlign w:val="center"/>
          </w:tcPr>
          <w:p w14:paraId="2949C0CF" w14:textId="77777777" w:rsidR="0063324C" w:rsidRPr="00C37D48" w:rsidRDefault="0063324C" w:rsidP="0063324C">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662A74" w:rsidRPr="004F276F" w14:paraId="2912BD65" w14:textId="77777777" w:rsidTr="008F7AC3">
        <w:trPr>
          <w:trHeight w:val="1020"/>
        </w:trPr>
        <w:tc>
          <w:tcPr>
            <w:tcW w:w="1066" w:type="dxa"/>
            <w:vAlign w:val="center"/>
          </w:tcPr>
          <w:p w14:paraId="16AF8320" w14:textId="77777777" w:rsidR="00662A74" w:rsidRPr="00C37D48" w:rsidRDefault="00662A74" w:rsidP="00662A74">
            <w:pPr>
              <w:rPr>
                <w:rFonts w:ascii="Calibri" w:hAnsi="Calibri" w:cs="Calibri"/>
              </w:rPr>
            </w:pPr>
          </w:p>
        </w:tc>
        <w:tc>
          <w:tcPr>
            <w:tcW w:w="9376" w:type="dxa"/>
            <w:gridSpan w:val="5"/>
            <w:vAlign w:val="center"/>
          </w:tcPr>
          <w:p w14:paraId="2458A4D7" w14:textId="0DDC25A9" w:rsidR="00662A74" w:rsidRPr="00B94C9E" w:rsidRDefault="00662A74" w:rsidP="00662A74">
            <w:pPr>
              <w:jc w:val="both"/>
              <w:rPr>
                <w:rFonts w:ascii="Calibri" w:hAnsi="Calibri" w:cs="Calibri"/>
              </w:rPr>
            </w:pPr>
            <w:r w:rsidRPr="00C575FB">
              <w:rPr>
                <w:rFonts w:ascii="Calibri" w:hAnsi="Calibri" w:cs="Calibri"/>
              </w:rPr>
              <w:t xml:space="preserve">India’s RPO framework has been subject to significant litigation at both regulatory and judicial levels. </w:t>
            </w:r>
            <w:r w:rsidRPr="00B94C9E">
              <w:rPr>
                <w:rFonts w:ascii="Calibri" w:hAnsi="Calibri" w:cs="Calibri"/>
              </w:rPr>
              <w:t xml:space="preserve">Notably, </w:t>
            </w:r>
            <w:hyperlink r:id="rId21" w:history="1">
              <w:r w:rsidRPr="00990DA9">
                <w:rPr>
                  <w:rStyle w:val="Hyperlink"/>
                  <w:rFonts w:ascii="Calibri" w:hAnsi="Calibri" w:cs="Calibri"/>
                </w:rPr>
                <w:t>in 2015</w:t>
              </w:r>
            </w:hyperlink>
            <w:r w:rsidRPr="00B94C9E">
              <w:rPr>
                <w:rFonts w:ascii="Calibri" w:hAnsi="Calibri" w:cs="Calibri"/>
              </w:rPr>
              <w:t>, the Supreme Court of India upheld the validity of RPO regulations imposed by the Rajasthan Electricity Regulatory Commission (RERC) on captive power plants and open access consumers, rejecting constitutional challenges under Articles 14 and 19(1)(g) of the Constitution of India</w:t>
            </w:r>
            <w:r w:rsidR="006D5A96">
              <w:rPr>
                <w:rFonts w:ascii="Calibri" w:hAnsi="Calibri" w:cs="Calibri"/>
              </w:rPr>
              <w:t xml:space="preserve"> </w:t>
            </w:r>
            <w:r w:rsidRPr="00B94C9E">
              <w:rPr>
                <w:rFonts w:ascii="Calibri" w:hAnsi="Calibri" w:cs="Calibri"/>
              </w:rPr>
              <w:t>and affirming jurisdiction under Sections 61 and 86 of the Act.</w:t>
            </w:r>
          </w:p>
          <w:p w14:paraId="6646114E" w14:textId="39F5BD76" w:rsidR="00662A74" w:rsidRPr="00C37D48" w:rsidRDefault="00662A74" w:rsidP="00E6028D">
            <w:pPr>
              <w:jc w:val="both"/>
              <w:rPr>
                <w:rFonts w:ascii="Calibri" w:hAnsi="Calibri" w:cs="Calibri"/>
              </w:rPr>
            </w:pPr>
            <w:hyperlink r:id="rId22" w:anchor=":~:text=In%20a%20decision%20that%20will%20have%20far-reaching%20consequences,fasten%20renewable%20purchase%20obligations%20%28RPO%29%20on%20cogeneration%20plants." w:history="1">
              <w:r w:rsidRPr="00A14760">
                <w:rPr>
                  <w:rStyle w:val="Hyperlink"/>
                  <w:rFonts w:ascii="Calibri" w:hAnsi="Calibri" w:cs="Calibri"/>
                </w:rPr>
                <w:t>More recently</w:t>
              </w:r>
            </w:hyperlink>
            <w:r w:rsidRPr="00B94C9E">
              <w:rPr>
                <w:rFonts w:ascii="Calibri" w:hAnsi="Calibri" w:cs="Calibri"/>
              </w:rPr>
              <w:t xml:space="preserve">, the </w:t>
            </w:r>
            <w:r w:rsidRPr="00990DA9">
              <w:rPr>
                <w:rFonts w:ascii="Calibri" w:hAnsi="Calibri" w:cs="Calibri"/>
              </w:rPr>
              <w:t>APTEL</w:t>
            </w:r>
            <w:r w:rsidRPr="00B94C9E">
              <w:rPr>
                <w:rFonts w:ascii="Calibri" w:hAnsi="Calibri" w:cs="Calibri"/>
              </w:rPr>
              <w:t xml:space="preserve">, in a dispute involving Tata Steel and the Odisha Electricity Regulatory Commission, confirmed that captive co-generation plants are subject to RPO obligations and upheld state-level regulations requiring non-renewable consuming entities to </w:t>
            </w:r>
            <w:r w:rsidR="006D5A96" w:rsidRPr="00B94C9E">
              <w:rPr>
                <w:rFonts w:ascii="Calibri" w:hAnsi="Calibri" w:cs="Calibri"/>
              </w:rPr>
              <w:t>fulfil</w:t>
            </w:r>
            <w:r w:rsidRPr="00B94C9E">
              <w:rPr>
                <w:rFonts w:ascii="Calibri" w:hAnsi="Calibri" w:cs="Calibri"/>
              </w:rPr>
              <w:t xml:space="preserve"> RPOs as prescribed.</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079B43BC" w:rsidR="004F48E8" w:rsidRPr="00C37D48" w:rsidRDefault="007478C9"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7EABCB85" w:rsidR="000A1365" w:rsidRPr="00C37D48" w:rsidRDefault="00346431"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40322D5C" w:rsidR="00D27551" w:rsidRPr="00C37D48" w:rsidRDefault="00C836F1" w:rsidP="00C37D48">
            <w:pPr>
              <w:rPr>
                <w:rFonts w:ascii="Calibri" w:hAnsi="Calibri" w:cs="Calibri"/>
              </w:rPr>
            </w:pPr>
            <w:r>
              <w:rPr>
                <w:rFonts w:ascii="Calibri" w:hAnsi="Calibri" w:cs="Calibri"/>
              </w:rPr>
              <w:t>Not applicable</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6D5A96" w:rsidRDefault="004A4C51" w:rsidP="00C37D48">
            <w:pPr>
              <w:rPr>
                <w:rFonts w:ascii="Calibri" w:hAnsi="Calibri" w:cs="Calibri"/>
              </w:rPr>
            </w:pPr>
            <w:r w:rsidRPr="006D5A96">
              <w:rPr>
                <w:rFonts w:ascii="Calibri" w:hAnsi="Calibri" w:cs="Calibri"/>
              </w:rPr>
              <w:t>Does the policy target make any other recommendations or requirements regarding the appropriate use of</w:t>
            </w:r>
            <w:r w:rsidRPr="006D5A96">
              <w:rPr>
                <w:rFonts w:ascii="Calibri" w:hAnsi="Calibri" w:cs="Calibri"/>
                <w:b/>
              </w:rPr>
              <w:t xml:space="preserve"> </w:t>
            </w:r>
            <w:r w:rsidRPr="006D5A96">
              <w:rPr>
                <w:rFonts w:ascii="Calibri" w:hAnsi="Calibri" w:cs="Calibri"/>
                <w:b/>
                <w:color w:val="7030A0"/>
              </w:rPr>
              <w:t>offsets</w:t>
            </w:r>
            <w:r w:rsidRPr="006D5A96">
              <w:rPr>
                <w:rFonts w:ascii="Calibri" w:hAnsi="Calibri" w:cs="Calibri"/>
              </w:rPr>
              <w:t xml:space="preserve">? If so, please describe, and reference the relevant section/subsection/paragraph of the </w:t>
            </w:r>
            <w:r w:rsidRPr="006D5A96">
              <w:rPr>
                <w:rFonts w:ascii="Calibri" w:eastAsia="Times New Roman" w:hAnsi="Calibri" w:cs="Calibri"/>
                <w:b/>
                <w:color w:val="7030A0"/>
                <w:kern w:val="0"/>
                <w:lang w:val="en-SG" w:eastAsia="en-GB"/>
                <w14:ligatures w14:val="none"/>
              </w:rPr>
              <w:t>policy tool</w:t>
            </w:r>
            <w:r w:rsidRPr="006D5A96">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E048E27" w:rsidR="004A4C51" w:rsidRPr="00C37D48" w:rsidRDefault="00EA245D" w:rsidP="00E6028D">
            <w:pPr>
              <w:jc w:val="both"/>
              <w:rPr>
                <w:rFonts w:ascii="Calibri" w:hAnsi="Calibri" w:cs="Calibri"/>
              </w:rPr>
            </w:pPr>
            <w:r w:rsidRPr="00EA245D">
              <w:rPr>
                <w:rFonts w:ascii="Calibri" w:hAnsi="Calibri" w:cs="Calibri"/>
              </w:rPr>
              <w:t>While the RPO framework does not directly mandate or recommend the use of carbon offsets, it indirectly accommodates offset-like instruments through the use of RECs. With the recent establishment of a national Carbon Credit Trading Scheme (CCTS) under the Energy Conservation Act (</w:t>
            </w:r>
            <w:r>
              <w:rPr>
                <w:rFonts w:ascii="Calibri" w:hAnsi="Calibri" w:cs="Calibri"/>
              </w:rPr>
              <w:t xml:space="preserve">as </w:t>
            </w:r>
            <w:r w:rsidRPr="00EA245D">
              <w:rPr>
                <w:rFonts w:ascii="Calibri" w:hAnsi="Calibri" w:cs="Calibri"/>
              </w:rPr>
              <w:t>amended), potential linkages between RPOs and offset markets may emerge in future revisions.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0FDB2F17" w:rsidR="00890032" w:rsidRPr="00C37D48" w:rsidRDefault="00D3782F"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045730A" w:rsidR="00B610C2" w:rsidRPr="00610F28" w:rsidRDefault="0077768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8940830" w:rsidR="00B610C2" w:rsidRPr="00610F28" w:rsidRDefault="0077768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B831AB9" w:rsidR="00B610C2" w:rsidRPr="00610F28" w:rsidRDefault="0077768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EF91511" w:rsidR="00B610C2" w:rsidRPr="00610F28" w:rsidRDefault="0077768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93B22F1" w:rsidR="00B610C2" w:rsidRPr="00610F28" w:rsidRDefault="0077768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1C72737" w:rsidR="00B610C2" w:rsidRPr="00610F28" w:rsidRDefault="0077768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EA7E8A9" w:rsidR="00B610C2" w:rsidRPr="00610F28" w:rsidRDefault="0077768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5FB2C0F" w:rsidR="00B610C2" w:rsidRPr="00610F28" w:rsidRDefault="0077768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26C58F1" w:rsidR="00B610C2" w:rsidRPr="00610F28" w:rsidRDefault="0077768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36CA181" w:rsidR="00B610C2" w:rsidRPr="00610F28" w:rsidRDefault="0077768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C17D861" w:rsidR="00B610C2" w:rsidRPr="00610F28" w:rsidRDefault="00777682"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DF9F2A6" w:rsidR="00B610C2" w:rsidRPr="00610F28" w:rsidRDefault="00446DDA" w:rsidP="00610F28">
            <w:pPr>
              <w:rPr>
                <w:rFonts w:ascii="Calibri" w:hAnsi="Calibri" w:cs="Calibri"/>
              </w:rPr>
            </w:pPr>
            <w:r>
              <w:rPr>
                <w:rFonts w:ascii="Calibri" w:hAnsi="Calibri" w:cs="Calibri"/>
              </w:rPr>
              <w:t>Not applicable</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6AF40D1" w:rsidR="00D4323A" w:rsidRPr="00610F28" w:rsidRDefault="00914D15"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19EC3718" w:rsidR="00D4323A" w:rsidRPr="00610F28" w:rsidRDefault="00914D15" w:rsidP="00E6028D">
            <w:pPr>
              <w:jc w:val="both"/>
              <w:rPr>
                <w:rFonts w:ascii="Calibri" w:hAnsi="Calibri" w:cs="Calibri"/>
              </w:rPr>
            </w:pPr>
            <w:r>
              <w:rPr>
                <w:rFonts w:ascii="Calibri" w:hAnsi="Calibri" w:cs="Calibri"/>
              </w:rPr>
              <w:t>X (if captive / open access consumers above threshold)</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82B6D50" w:rsidR="00D4323A" w:rsidRPr="00610F28" w:rsidRDefault="004D7C56"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A7E6B6E" w:rsidR="00D4323A" w:rsidRPr="00610F28" w:rsidRDefault="004D7C56"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8E35852" w:rsidR="00D4323A" w:rsidRPr="00610F28" w:rsidRDefault="004D7C56"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D7C0FF7" w:rsidR="00D4323A" w:rsidRPr="00610F28" w:rsidRDefault="00767944"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29D2E341" w:rsidR="00D4323A" w:rsidRPr="00610F28" w:rsidRDefault="00767944"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7C7E0C8" w:rsidR="00D4323A" w:rsidRPr="00610F28" w:rsidRDefault="00767944"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09EC82E6" w:rsidR="00D4323A" w:rsidRPr="00610F28" w:rsidRDefault="00767944"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65E419B8" w:rsidR="00D4323A" w:rsidRPr="00610F28" w:rsidRDefault="00767944"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52CFA9F8" w:rsidR="00D4323A" w:rsidRPr="00610F28" w:rsidRDefault="00767944"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1D3FFA49" w:rsidR="00D4323A" w:rsidRPr="00610F28" w:rsidRDefault="00767944"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3DAA7FB6" w:rsidR="00D4323A" w:rsidRPr="00610F28" w:rsidRDefault="00D67061"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3D524DF2" w:rsidR="00C66EE0" w:rsidRPr="00610F28" w:rsidRDefault="004D4D9D"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56E66ACC" w:rsidR="00C66EE0" w:rsidRPr="00610F28" w:rsidRDefault="004D4D9D" w:rsidP="00E6028D">
            <w:pPr>
              <w:jc w:val="both"/>
              <w:rPr>
                <w:rFonts w:ascii="Calibri" w:hAnsi="Calibri" w:cs="Calibri"/>
              </w:rPr>
            </w:pPr>
            <w:r>
              <w:rPr>
                <w:rFonts w:ascii="Calibri" w:hAnsi="Calibri" w:cs="Calibri"/>
              </w:rPr>
              <w:t>X</w:t>
            </w:r>
            <w:r w:rsidR="00D67061">
              <w:rPr>
                <w:rFonts w:ascii="Calibri" w:hAnsi="Calibri" w:cs="Calibri"/>
              </w:rPr>
              <w:t xml:space="preserve"> </w:t>
            </w:r>
            <w:r w:rsidR="00D67061" w:rsidRPr="00D67061">
              <w:rPr>
                <w:rFonts w:ascii="Calibri" w:hAnsi="Calibri" w:cs="Calibri"/>
              </w:rPr>
              <w:t>(if captive power use above threshold)</w:t>
            </w: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149BB97E" w:rsidR="00C66EE0" w:rsidRPr="00610F28" w:rsidRDefault="004D4D9D" w:rsidP="00610F28">
            <w:pPr>
              <w:rPr>
                <w:rFonts w:ascii="Calibri" w:hAnsi="Calibri" w:cs="Calibri"/>
              </w:rPr>
            </w:pPr>
            <w:r>
              <w:rPr>
                <w:rFonts w:ascii="Calibri" w:hAnsi="Calibri" w:cs="Calibri"/>
              </w:rPr>
              <w:t>X</w:t>
            </w: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2881260D" w:rsidR="00C66EE0" w:rsidRPr="00610F28" w:rsidRDefault="004D4D9D"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22C7C9FA" w:rsidR="00C66EE0" w:rsidRPr="00610F28" w:rsidRDefault="004D4D9D"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5F0C1BB8" w:rsidR="00C66EE0" w:rsidRPr="00610F28" w:rsidRDefault="004D4D9D"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571DF1A7" w:rsidR="00C66EE0" w:rsidRPr="00610F28" w:rsidRDefault="004D4D9D"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1FA6016E" w:rsidR="00C66EE0" w:rsidRPr="00610F28" w:rsidRDefault="004D4D9D" w:rsidP="00E6028D">
            <w:pPr>
              <w:jc w:val="both"/>
              <w:rPr>
                <w:rFonts w:ascii="Calibri" w:hAnsi="Calibri" w:cs="Calibri"/>
              </w:rPr>
            </w:pPr>
            <w:r>
              <w:rPr>
                <w:rFonts w:ascii="Calibri" w:hAnsi="Calibri" w:cs="Calibri"/>
              </w:rPr>
              <w:t>X</w:t>
            </w:r>
            <w:r w:rsidR="00D67061">
              <w:rPr>
                <w:rFonts w:ascii="Calibri" w:hAnsi="Calibri" w:cs="Calibri"/>
              </w:rPr>
              <w:t xml:space="preserve">  </w:t>
            </w:r>
            <w:r w:rsidR="00D67061" w:rsidRPr="00D67061">
              <w:rPr>
                <w:rFonts w:ascii="Calibri" w:hAnsi="Calibri" w:cs="Calibri"/>
              </w:rPr>
              <w:t xml:space="preserve">(if operating large </w:t>
            </w:r>
            <w:r w:rsidR="00D67061" w:rsidRPr="00D67061">
              <w:rPr>
                <w:rFonts w:ascii="Calibri" w:hAnsi="Calibri" w:cs="Calibri"/>
              </w:rPr>
              <w:lastRenderedPageBreak/>
              <w:t>captive/open access plants)</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EE7F7D2" w:rsidR="00C66EE0" w:rsidRPr="00610F28" w:rsidRDefault="004D4D9D"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500372CA" w:rsidR="00C66EE0" w:rsidRPr="00610F28" w:rsidRDefault="004D4D9D"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53D3F357" w:rsidR="00C66EE0" w:rsidRPr="00610F28" w:rsidRDefault="004D4D9D"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0E4FA7E7" w:rsidR="00C66EE0" w:rsidRPr="00610F28" w:rsidRDefault="004D4D9D"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52C3294A" w:rsidR="00C66EE0" w:rsidRPr="00610F28" w:rsidRDefault="004D4D9D"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A33031C" w:rsidR="00C66EE0" w:rsidRPr="00610F28" w:rsidRDefault="004D4D9D"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B6BBE97" w:rsidR="00C66EE0" w:rsidRPr="00610F28" w:rsidRDefault="004D4D9D"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0A09F2E9" w:rsidR="00C66EE0" w:rsidRPr="00610F28" w:rsidRDefault="00D67061"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10B162B5" w:rsidR="00C66EE0" w:rsidRPr="00610F28" w:rsidRDefault="00D67061"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05AE5CB4" w:rsidR="00C66EE0" w:rsidRPr="00610F28" w:rsidRDefault="00D67061"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14A7513B" w:rsidR="00C66EE0" w:rsidRPr="00610F28" w:rsidRDefault="00D67061"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67FAF2C1" w:rsidR="00C66EE0" w:rsidRPr="00610F28" w:rsidRDefault="00D67061"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5EBF25FA" w:rsidR="00C66EE0" w:rsidRPr="00610F28" w:rsidRDefault="00D67061"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4DEF96B3" w:rsidR="00C66EE0" w:rsidRPr="00610F28" w:rsidRDefault="00D67061"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70AE0BB8" w14:textId="751C194E" w:rsidR="00B963C3" w:rsidRPr="00B963C3" w:rsidRDefault="00B963C3" w:rsidP="00E6028D">
            <w:pPr>
              <w:jc w:val="both"/>
              <w:rPr>
                <w:rFonts w:ascii="Calibri" w:hAnsi="Calibri" w:cs="Calibri"/>
              </w:rPr>
            </w:pPr>
            <w:r>
              <w:rPr>
                <w:rFonts w:ascii="Calibri" w:hAnsi="Calibri" w:cs="Calibri"/>
              </w:rPr>
              <w:t xml:space="preserve">RPOs </w:t>
            </w:r>
            <w:r w:rsidRPr="00B963C3">
              <w:rPr>
                <w:rFonts w:ascii="Calibri" w:hAnsi="Calibri" w:cs="Calibri"/>
              </w:rPr>
              <w:t>primarily target</w:t>
            </w:r>
            <w:r>
              <w:rPr>
                <w:rFonts w:ascii="Calibri" w:hAnsi="Calibri" w:cs="Calibri"/>
              </w:rPr>
              <w:t xml:space="preserve"> </w:t>
            </w:r>
            <w:r w:rsidRPr="00B963C3">
              <w:rPr>
                <w:rFonts w:ascii="Calibri" w:hAnsi="Calibri" w:cs="Calibri"/>
              </w:rPr>
              <w:t>government departments and agencies at the national, state and local levels on a mandatory basis for public procurement-related obligations. These duties are typically aligned with procurement rules under central schemes and programs involving green or sustainable procurement mandates.</w:t>
            </w:r>
          </w:p>
          <w:p w14:paraId="5D90B9C5" w14:textId="17274EF3" w:rsidR="00C66EE0" w:rsidRPr="00610F28" w:rsidRDefault="00B963C3" w:rsidP="00E6028D">
            <w:pPr>
              <w:jc w:val="both"/>
              <w:rPr>
                <w:rFonts w:ascii="Calibri" w:hAnsi="Calibri" w:cs="Calibri"/>
              </w:rPr>
            </w:pPr>
            <w:r w:rsidRPr="00B963C3">
              <w:rPr>
                <w:rFonts w:ascii="Calibri" w:hAnsi="Calibri" w:cs="Calibri"/>
              </w:rPr>
              <w:t>Where sector-specific application is indicated (e.g. waste management, construction, manufacturing), obligations or expectations may differ in scope and stringency based on the nature of activities and environmental risk profile.</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2EC542EB" w:rsidR="00C66EE0" w:rsidRPr="00610F28" w:rsidRDefault="00CF3186" w:rsidP="00610F28">
            <w:pPr>
              <w:rPr>
                <w:rFonts w:ascii="Calibri" w:hAnsi="Calibri" w:cs="Calibri"/>
              </w:rPr>
            </w:pPr>
            <w:r>
              <w:rPr>
                <w:rFonts w:ascii="Calibri" w:hAnsi="Calibri" w:cs="Calibri"/>
              </w:rPr>
              <w:t>Not specified</w:t>
            </w:r>
          </w:p>
        </w:tc>
      </w:tr>
      <w:tr w:rsidR="00CF3186" w:rsidRPr="00610F28" w14:paraId="12303B6E" w14:textId="77777777" w:rsidTr="00610F28">
        <w:trPr>
          <w:trHeight w:val="440"/>
        </w:trPr>
        <w:tc>
          <w:tcPr>
            <w:tcW w:w="1066" w:type="dxa"/>
            <w:vAlign w:val="center"/>
          </w:tcPr>
          <w:p w14:paraId="7AE1A675" w14:textId="5D6D163E" w:rsidR="00CF3186" w:rsidRPr="00610F28" w:rsidRDefault="00CF3186" w:rsidP="00CF3186">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3DBBE099" w14:textId="77777777" w:rsidR="00CF3186" w:rsidRPr="00610F28" w:rsidRDefault="00CF3186" w:rsidP="00CF3186">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10B0673D" w:rsidR="00CF3186" w:rsidRPr="00610F28" w:rsidRDefault="00CF3186" w:rsidP="00CF3186">
            <w:pPr>
              <w:rPr>
                <w:rFonts w:ascii="Calibri" w:hAnsi="Calibri" w:cs="Calibri"/>
              </w:rPr>
            </w:pPr>
            <w:r>
              <w:rPr>
                <w:rFonts w:ascii="Calibri" w:hAnsi="Calibri" w:cs="Calibri"/>
              </w:rPr>
              <w:t>Not specified</w:t>
            </w: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34114060" w:rsidR="00C66EE0" w:rsidRPr="00610F28" w:rsidRDefault="0046385D" w:rsidP="00E6028D">
            <w:pPr>
              <w:jc w:val="both"/>
              <w:rPr>
                <w:rFonts w:ascii="Calibri" w:hAnsi="Calibri" w:cs="Calibri"/>
                <w:lang w:val="sv-SE"/>
              </w:rPr>
            </w:pPr>
            <w:r>
              <w:rPr>
                <w:rFonts w:ascii="Calibri" w:hAnsi="Calibri" w:cs="Calibri"/>
                <w:lang w:val="sv-SE"/>
              </w:rPr>
              <w:t>Not applicable in the context of procurement obligations</w:t>
            </w: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1D7566F1" w:rsidR="00C66EE0" w:rsidRPr="00610F28" w:rsidRDefault="00AE665B" w:rsidP="00E6028D">
            <w:pPr>
              <w:jc w:val="both"/>
              <w:rPr>
                <w:rFonts w:ascii="Calibri" w:hAnsi="Calibri" w:cs="Calibri"/>
              </w:rPr>
            </w:pPr>
            <w:r w:rsidRPr="00AE665B">
              <w:rPr>
                <w:rFonts w:ascii="Calibri" w:hAnsi="Calibri" w:cs="Calibri"/>
              </w:rPr>
              <w:t>Procurement-related compliance is typically triggered for contracts above INR 5 lakhs, though this varies by department and nature of procurement. For example, green procurement mandates may be applicable only for high-value goods or services.</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CCB1610" w:rsidR="00C66EE0" w:rsidRPr="00610F28" w:rsidRDefault="00AE665B" w:rsidP="00610F28">
            <w:pPr>
              <w:rPr>
                <w:rFonts w:ascii="Calibri" w:hAnsi="Calibri" w:cs="Calibri"/>
              </w:rPr>
            </w:pPr>
            <w:r>
              <w:rPr>
                <w:rFonts w:ascii="Calibri" w:hAnsi="Calibri" w:cs="Calibri"/>
              </w:rPr>
              <w:t xml:space="preserve">Entities </w:t>
            </w:r>
            <w:r w:rsidR="00975215">
              <w:rPr>
                <w:rFonts w:ascii="Calibri" w:hAnsi="Calibri" w:cs="Calibri"/>
              </w:rPr>
              <w:t xml:space="preserve">headquartered or </w:t>
            </w:r>
            <w:r>
              <w:rPr>
                <w:rFonts w:ascii="Calibri" w:hAnsi="Calibri" w:cs="Calibri"/>
              </w:rPr>
              <w:t>operati</w:t>
            </w:r>
            <w:r w:rsidR="00975215">
              <w:rPr>
                <w:rFonts w:ascii="Calibri" w:hAnsi="Calibri" w:cs="Calibri"/>
              </w:rPr>
              <w:t xml:space="preserve">onal </w:t>
            </w:r>
            <w:r>
              <w:rPr>
                <w:rFonts w:ascii="Calibri" w:hAnsi="Calibri" w:cs="Calibri"/>
              </w:rPr>
              <w:t>within India</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D68B592" w:rsidR="00C66EE0" w:rsidRPr="00610F28" w:rsidRDefault="00975215" w:rsidP="00E6028D">
            <w:pPr>
              <w:jc w:val="both"/>
              <w:rPr>
                <w:rFonts w:ascii="Calibri" w:hAnsi="Calibri" w:cs="Calibri"/>
              </w:rPr>
            </w:pPr>
            <w:r w:rsidRPr="00975215">
              <w:rPr>
                <w:rFonts w:ascii="Calibri" w:hAnsi="Calibri" w:cs="Calibri"/>
              </w:rPr>
              <w:t>Compliance may be sector-triggered (e.g., waste management, manufacturing, construction)</w:t>
            </w:r>
            <w:r>
              <w:rPr>
                <w:rFonts w:ascii="Calibri" w:hAnsi="Calibri" w:cs="Calibri"/>
              </w:rPr>
              <w:t xml:space="preserve"> </w:t>
            </w:r>
            <w:r w:rsidRPr="00975215">
              <w:rPr>
                <w:rFonts w:ascii="Calibri" w:hAnsi="Calibri" w:cs="Calibri"/>
              </w:rPr>
              <w:t xml:space="preserve">or based on participation in government procurement portals where registration and bidding norms imply de facto thresholds. Further, obligations may arise when an entity is registered under rules </w:t>
            </w:r>
            <w:r w:rsidR="00994041">
              <w:rPr>
                <w:rFonts w:ascii="Calibri" w:hAnsi="Calibri" w:cs="Calibri"/>
              </w:rPr>
              <w:t>such as plastic waste management rules, battery waste management rules, etc.</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22B55388" w:rsidR="00C66EE0" w:rsidRPr="00610F28" w:rsidRDefault="00B77F79"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lastRenderedPageBreak/>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38420EAE" w:rsidR="00C66EE0" w:rsidRPr="00610F28" w:rsidRDefault="00B77F79"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5EDD7B83" w:rsidR="00C66EE0" w:rsidRPr="00610F28" w:rsidRDefault="00B77F79" w:rsidP="00610F28">
            <w:pPr>
              <w:rPr>
                <w:rFonts w:ascii="Calibri" w:hAnsi="Calibri" w:cs="Calibri"/>
              </w:rPr>
            </w:pPr>
            <w:r>
              <w:rPr>
                <w:rFonts w:ascii="Calibri" w:hAnsi="Calibri" w:cs="Calibri"/>
              </w:rPr>
              <w:t>X</w:t>
            </w: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4F4DD7FD" w:rsidR="00C66EE0" w:rsidRPr="00610F28" w:rsidRDefault="00B77F79"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18C823E5" w:rsidR="00C66EE0" w:rsidRPr="00610F28" w:rsidRDefault="00B77F79" w:rsidP="00610F28">
            <w:pPr>
              <w:rPr>
                <w:rFonts w:ascii="Calibri" w:hAnsi="Calibri" w:cs="Calibri"/>
              </w:rPr>
            </w:pPr>
            <w:r>
              <w:rPr>
                <w:rFonts w:ascii="Calibri" w:hAnsi="Calibri" w:cs="Calibri"/>
              </w:rPr>
              <w:t>X</w:t>
            </w: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153D366E" w:rsidR="00C66EE0" w:rsidRPr="00610F28" w:rsidRDefault="00B77F79" w:rsidP="00610F28">
            <w:pPr>
              <w:rPr>
                <w:rFonts w:ascii="Calibri" w:hAnsi="Calibri" w:cs="Calibri"/>
              </w:rPr>
            </w:pPr>
            <w:r>
              <w:rPr>
                <w:rFonts w:ascii="Calibri" w:hAnsi="Calibri" w:cs="Calibri"/>
              </w:rPr>
              <w:t>X</w:t>
            </w: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41362EFE" w:rsidR="007B7083" w:rsidRPr="00610F28" w:rsidRDefault="00872151" w:rsidP="00E6028D">
            <w:pPr>
              <w:jc w:val="both"/>
              <w:rPr>
                <w:rFonts w:ascii="Calibri" w:hAnsi="Calibri" w:cs="Calibri"/>
              </w:rPr>
            </w:pPr>
            <w:r w:rsidRPr="00872151">
              <w:rPr>
                <w:rFonts w:ascii="Calibri" w:hAnsi="Calibri" w:cs="Calibri"/>
              </w:rPr>
              <w:t>Non-compliance may attract monetary fines, restrictions on business activities (including suspension of registration or licenses)</w:t>
            </w:r>
            <w:r>
              <w:rPr>
                <w:rFonts w:ascii="Calibri" w:hAnsi="Calibri" w:cs="Calibri"/>
              </w:rPr>
              <w:t xml:space="preserve"> and</w:t>
            </w:r>
            <w:r w:rsidRPr="00872151">
              <w:rPr>
                <w:rFonts w:ascii="Calibri" w:hAnsi="Calibri" w:cs="Calibri"/>
              </w:rPr>
              <w:t xml:space="preserve"> exclusion from government contracts. In serious cases, criminal liability may also apply under enabling laws such as the Environment Protection Act, 1986.</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40EC7DD9"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35820C98" w:rsidR="00C66EE0" w:rsidRPr="00610F28" w:rsidRDefault="00E22757"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45931619" w:rsidR="00C66EE0" w:rsidRPr="008666FD" w:rsidRDefault="00552B4C" w:rsidP="00E6028D">
            <w:pPr>
              <w:jc w:val="both"/>
              <w:rPr>
                <w:rFonts w:ascii="Calibri" w:hAnsi="Calibri" w:cs="Calibri"/>
              </w:rPr>
            </w:pPr>
            <w:r w:rsidRPr="008666FD">
              <w:rPr>
                <w:rFonts w:ascii="Calibri" w:hAnsi="Calibri" w:cs="Calibri"/>
              </w:rPr>
              <w:t xml:space="preserve">In Goa and Union Territories, the Joint Electricity Regulatory Commission (JERC) </w:t>
            </w:r>
            <w:hyperlink r:id="rId23" w:history="1">
              <w:r w:rsidRPr="00E6028D">
                <w:rPr>
                  <w:rStyle w:val="Hyperlink"/>
                </w:rPr>
                <w:t>in 2014</w:t>
              </w:r>
            </w:hyperlink>
            <w:r w:rsidRPr="008666FD">
              <w:rPr>
                <w:rFonts w:ascii="Calibri" w:hAnsi="Calibri" w:cs="Calibri"/>
              </w:rPr>
              <w:t xml:space="preserve"> directed utilities such as Dadra &amp; Nagar Haveli to deposit substantial sums (e.g. INR</w:t>
            </w:r>
            <w:r w:rsidRPr="008666FD">
              <w:rPr>
                <w:rFonts w:ascii="Arial" w:hAnsi="Arial" w:cs="Arial"/>
              </w:rPr>
              <w:t> </w:t>
            </w:r>
            <w:r w:rsidRPr="008666FD">
              <w:rPr>
                <w:rFonts w:ascii="Calibri" w:hAnsi="Calibri" w:cs="Calibri"/>
              </w:rPr>
              <w:t>110 crore) for failing to meet solar RPO targets.</w:t>
            </w:r>
            <w:r w:rsidR="008270CE" w:rsidRPr="00E6028D">
              <w:rPr>
                <w:rFonts w:ascii="Calibri" w:hAnsi="Calibri" w:cs="Calibri"/>
              </w:rPr>
              <w:t xml:space="preserve"> </w:t>
            </w:r>
            <w:r w:rsidR="008666FD" w:rsidRPr="00E6028D">
              <w:rPr>
                <w:rFonts w:ascii="Calibri" w:hAnsi="Calibri" w:cs="Calibri"/>
              </w:rPr>
              <w:t xml:space="preserve">Further, </w:t>
            </w:r>
            <w:hyperlink r:id="rId24" w:anchor=":~:text=In%20an%20order%20involving%20Tata%20Steel%20and%20the,%28RPO%29%20for%20Tata%20Steel%20during%20the%20years%202011-14." w:history="1">
              <w:r w:rsidR="008666FD" w:rsidRPr="00E6028D">
                <w:rPr>
                  <w:rStyle w:val="Hyperlink"/>
                </w:rPr>
                <w:t>i</w:t>
              </w:r>
              <w:r w:rsidRPr="008666FD">
                <w:rPr>
                  <w:rStyle w:val="Hyperlink"/>
                  <w:rFonts w:ascii="Calibri" w:hAnsi="Calibri" w:cs="Calibri"/>
                </w:rPr>
                <w:t>n a recent landmark case</w:t>
              </w:r>
            </w:hyperlink>
            <w:r w:rsidRPr="008666FD">
              <w:rPr>
                <w:rFonts w:ascii="Calibri" w:hAnsi="Calibri" w:cs="Calibri"/>
              </w:rPr>
              <w:t>, Tata Steel Limited, which had defaulted on its RPO obligations, was penalised. The Appellate Tribunal for Electricity (APTEL) ruled that the Jharkhand State Electricity Regulatory Commission (JSERC) erred when exempting the company from its RPO duties. APTEL directed JSERC to calculate the amount owed (under Regulation</w:t>
            </w:r>
            <w:r w:rsidRPr="008666FD">
              <w:rPr>
                <w:rFonts w:ascii="Arial" w:hAnsi="Arial" w:cs="Arial"/>
              </w:rPr>
              <w:t> </w:t>
            </w:r>
            <w:r w:rsidRPr="008666FD">
              <w:rPr>
                <w:rFonts w:ascii="Calibri" w:hAnsi="Calibri" w:cs="Calibri"/>
              </w:rPr>
              <w:t>10 of the state RPO regulations) and ensure Tata Steel deposits funds for REC procurement.</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64826023" w:rsidR="00C66EE0" w:rsidRPr="00610F28" w:rsidRDefault="00C575FB"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7262513A" w14:textId="77777777" w:rsidR="00B94C9E" w:rsidRPr="00B94C9E" w:rsidRDefault="00C575FB" w:rsidP="00E6028D">
            <w:pPr>
              <w:jc w:val="both"/>
              <w:rPr>
                <w:rFonts w:ascii="Calibri" w:hAnsi="Calibri" w:cs="Calibri"/>
              </w:rPr>
            </w:pPr>
            <w:r w:rsidRPr="00C575FB">
              <w:rPr>
                <w:rFonts w:ascii="Calibri" w:hAnsi="Calibri" w:cs="Calibri"/>
              </w:rPr>
              <w:t xml:space="preserve">India’s RPO framework has been subject to significant litigation at both regulatory and judicial levels. </w:t>
            </w:r>
            <w:r w:rsidRPr="00B94C9E">
              <w:rPr>
                <w:rFonts w:ascii="Calibri" w:hAnsi="Calibri" w:cs="Calibri"/>
              </w:rPr>
              <w:t>Notably</w:t>
            </w:r>
            <w:r w:rsidR="00CF7AAE" w:rsidRPr="00B94C9E">
              <w:rPr>
                <w:rFonts w:ascii="Calibri" w:hAnsi="Calibri" w:cs="Calibri"/>
              </w:rPr>
              <w:t xml:space="preserve">, </w:t>
            </w:r>
            <w:hyperlink r:id="rId25" w:history="1">
              <w:r w:rsidR="00CF7AAE" w:rsidRPr="00E6028D">
                <w:rPr>
                  <w:rStyle w:val="Hyperlink"/>
                </w:rPr>
                <w:t>i</w:t>
              </w:r>
              <w:r w:rsidRPr="00E6028D">
                <w:rPr>
                  <w:rStyle w:val="Hyperlink"/>
                </w:rPr>
                <w:t>n 2015</w:t>
              </w:r>
            </w:hyperlink>
            <w:r w:rsidRPr="00B94C9E">
              <w:rPr>
                <w:rFonts w:ascii="Calibri" w:hAnsi="Calibri" w:cs="Calibri"/>
              </w:rPr>
              <w:t>, the Supreme Court of India upheld the validity of RPO regulations imposed by the Rajasthan Electricity Regulatory Commission (RERC) on captive power plants and open access consumers, rejecting constitutional challenges under Articles 14 and 19(1)(g)</w:t>
            </w:r>
            <w:r w:rsidR="00CF7AAE" w:rsidRPr="00B94C9E">
              <w:rPr>
                <w:rFonts w:ascii="Calibri" w:hAnsi="Calibri" w:cs="Calibri"/>
              </w:rPr>
              <w:t xml:space="preserve"> of the Constitution of India,</w:t>
            </w:r>
            <w:r w:rsidRPr="00B94C9E">
              <w:rPr>
                <w:rFonts w:ascii="Calibri" w:hAnsi="Calibri" w:cs="Calibri"/>
              </w:rPr>
              <w:t xml:space="preserve"> and affirming jurisdiction under Sections 61 and 86 of the Act</w:t>
            </w:r>
            <w:r w:rsidR="00CF7AAE" w:rsidRPr="00B94C9E">
              <w:rPr>
                <w:rFonts w:ascii="Calibri" w:hAnsi="Calibri" w:cs="Calibri"/>
              </w:rPr>
              <w:t>.</w:t>
            </w:r>
          </w:p>
          <w:p w14:paraId="434C01FD" w14:textId="3EB62D85" w:rsidR="00C66EE0" w:rsidRPr="00E6028D" w:rsidRDefault="00A14760" w:rsidP="00E6028D">
            <w:pPr>
              <w:jc w:val="both"/>
              <w:rPr>
                <w:rFonts w:ascii="Calibri" w:hAnsi="Calibri" w:cs="Calibri"/>
                <w:highlight w:val="yellow"/>
              </w:rPr>
            </w:pPr>
            <w:hyperlink r:id="rId26" w:anchor=":~:text=In%20a%20decision%20that%20will%20have%20far-reaching%20consequences,fasten%20renewable%20purchase%20obligations%20%28RPO%29%20on%20cogeneration%20plants." w:history="1">
              <w:r w:rsidR="00C575FB" w:rsidRPr="00A14760">
                <w:rPr>
                  <w:rStyle w:val="Hyperlink"/>
                  <w:rFonts w:ascii="Calibri" w:hAnsi="Calibri" w:cs="Calibri"/>
                </w:rPr>
                <w:t>More recently</w:t>
              </w:r>
            </w:hyperlink>
            <w:r w:rsidR="00C575FB" w:rsidRPr="00B94C9E">
              <w:rPr>
                <w:rFonts w:ascii="Calibri" w:hAnsi="Calibri" w:cs="Calibri"/>
              </w:rPr>
              <w:t xml:space="preserve">, the </w:t>
            </w:r>
            <w:r w:rsidR="00B94C9E" w:rsidRPr="00E6028D">
              <w:rPr>
                <w:rFonts w:ascii="Calibri" w:hAnsi="Calibri" w:cs="Calibri"/>
              </w:rPr>
              <w:t>APTEL</w:t>
            </w:r>
            <w:r w:rsidR="00C575FB" w:rsidRPr="00B94C9E">
              <w:rPr>
                <w:rFonts w:ascii="Calibri" w:hAnsi="Calibri" w:cs="Calibri"/>
              </w:rPr>
              <w:t>, in a dispute involving Tata Steel and the Odisha Electricity Regulatory Commission, confirmed that captive co-generation plants are subject to RPO obligations and upheld state-level regulations requiring non-renewable consuming entities to fulfill RPOs as prescribed</w:t>
            </w:r>
            <w:r w:rsidR="00B94C9E" w:rsidRPr="00B94C9E">
              <w:rPr>
                <w:rFonts w:ascii="Calibri" w:hAnsi="Calibri" w:cs="Calibri"/>
              </w:rPr>
              <w:t>.</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lastRenderedPageBreak/>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7333D5EC" w:rsidR="00DF50B5" w:rsidRPr="00610F28" w:rsidRDefault="00C31696"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3B7B4CD" w:rsidR="00DF50B5" w:rsidRPr="00610F28" w:rsidRDefault="00A3254D"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A1F448D" w:rsidR="00DF50B5" w:rsidRPr="00610F28" w:rsidRDefault="00A3254D"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D249FB6" w:rsidR="00DF50B5" w:rsidRPr="00610F28" w:rsidRDefault="00A3254D"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A041F7D" w:rsidR="00DF50B5" w:rsidRPr="00610F28" w:rsidRDefault="00A3254D"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031BD78" w:rsidR="00DF50B5" w:rsidRPr="00610F28" w:rsidRDefault="00A3254D"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9502CF2" w:rsidR="00DF50B5" w:rsidRPr="00610F28" w:rsidRDefault="00A3254D"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lastRenderedPageBreak/>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4DB7CF47" w:rsidR="00DF50B5" w:rsidRPr="00610F28" w:rsidRDefault="00A3254D"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93950D2" w:rsidR="00DF50B5" w:rsidRPr="00610F28" w:rsidRDefault="00BC3C07"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7E409C29" w:rsidR="00DF50B5" w:rsidRPr="00610F28" w:rsidRDefault="00BC3C07"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F0D8956" w:rsidR="00DF50B5" w:rsidRPr="00610F28" w:rsidRDefault="00BC3C07"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6F02339F" w:rsidR="00DF50B5" w:rsidRPr="00610F28" w:rsidRDefault="00BC3C07"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309F355" w:rsidR="00DF50B5" w:rsidRPr="00610F28" w:rsidRDefault="00BC3C07"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F8CDF31" w:rsidR="00DF50B5" w:rsidRPr="00610F28" w:rsidRDefault="00BC3C07"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65655C90" w:rsidR="00DF50B5" w:rsidRPr="00610F28" w:rsidRDefault="00BC3C07"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lastRenderedPageBreak/>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5614DA85" w:rsidR="00DF50B5" w:rsidRPr="00610F28" w:rsidRDefault="0092025F" w:rsidP="00610F28">
            <w:pPr>
              <w:rPr>
                <w:rFonts w:ascii="Calibri" w:hAnsi="Calibri" w:cs="Calibri"/>
              </w:rPr>
            </w:pPr>
            <w:r>
              <w:rPr>
                <w:rFonts w:ascii="Calibri" w:hAnsi="Calibri" w:cs="Calibri"/>
              </w:rPr>
              <w:t>Not applicable</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62596DB6" w:rsidR="00A56BE5" w:rsidRPr="00971C0E" w:rsidRDefault="00BF26B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51A224D5" w:rsidR="00A56BE5" w:rsidRPr="00971C0E" w:rsidRDefault="00BF26B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4D4EC2DF" w:rsidR="00A56BE5" w:rsidRPr="00971C0E" w:rsidRDefault="00BF26B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087ED75A" w:rsidR="00D94180" w:rsidRPr="00971C0E" w:rsidRDefault="00BF26B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Not applicable</w:t>
            </w:r>
          </w:p>
        </w:tc>
      </w:tr>
    </w:tbl>
    <w:p w14:paraId="55C55B84" w14:textId="77777777" w:rsidR="00062526" w:rsidRDefault="00062526"/>
    <w:p w14:paraId="3F85081E" w14:textId="2C5C789D" w:rsidR="00062526" w:rsidRDefault="005E50FD" w:rsidP="00062526">
      <w:pPr>
        <w:pStyle w:val="Heading2"/>
      </w:pPr>
      <w:bookmarkStart w:id="19" w:name="_Toc198223616"/>
      <w:r>
        <w:lastRenderedPageBreak/>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54A8D8CC" w:rsidR="008A4685" w:rsidRPr="00610F28" w:rsidRDefault="00FA319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579813E3" w:rsidR="008A4685" w:rsidRPr="00610F28" w:rsidRDefault="00FA319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93CA57C" w:rsidR="008A4685" w:rsidRPr="00610F28" w:rsidRDefault="00FA319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47BFB48B" w:rsidR="008A4685" w:rsidRPr="00610F28" w:rsidRDefault="00FA319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06C252FA" w:rsidR="008A4685" w:rsidRPr="00610F28" w:rsidRDefault="00FA319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1CA58A9D" w:rsidR="008A4685" w:rsidRPr="00610F28" w:rsidRDefault="00FA319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5322EB7A" w:rsidR="004557A1" w:rsidRPr="00610F28" w:rsidRDefault="00131214" w:rsidP="00E6028D">
            <w:pPr>
              <w:jc w:val="both"/>
              <w:rPr>
                <w:rStyle w:val="normaltextrun"/>
                <w:rFonts w:ascii="Calibri" w:hAnsi="Calibri" w:cs="Calibri"/>
                <w:color w:val="000000"/>
                <w:shd w:val="clear" w:color="auto" w:fill="FFFFFF"/>
                <w:lang w:val="en-US"/>
              </w:rPr>
            </w:pPr>
            <w:r w:rsidRPr="00131214">
              <w:rPr>
                <w:rStyle w:val="normaltextrun"/>
                <w:rFonts w:ascii="Calibri" w:hAnsi="Calibri" w:cs="Calibri"/>
                <w:color w:val="000000"/>
                <w:shd w:val="clear" w:color="auto" w:fill="FFFFFF"/>
                <w:lang w:val="en-US"/>
              </w:rPr>
              <w:t>The MoP Order dated 22 July 2022 (as amended by Corrigendum dated 19 September 2022) encourages obligated entities</w:t>
            </w:r>
            <w:r>
              <w:rPr>
                <w:rStyle w:val="normaltextrun"/>
                <w:rFonts w:ascii="Calibri" w:hAnsi="Calibri" w:cs="Calibri"/>
                <w:color w:val="000000"/>
                <w:shd w:val="clear" w:color="auto" w:fill="FFFFFF"/>
                <w:lang w:val="en-US"/>
              </w:rPr>
              <w:t xml:space="preserve">, </w:t>
            </w:r>
            <w:r w:rsidRPr="00131214">
              <w:rPr>
                <w:rStyle w:val="normaltextrun"/>
                <w:rFonts w:ascii="Calibri" w:hAnsi="Calibri" w:cs="Calibri"/>
                <w:color w:val="000000"/>
                <w:shd w:val="clear" w:color="auto" w:fill="FFFFFF"/>
                <w:lang w:val="en-US"/>
              </w:rPr>
              <w:t>including discoms and open access/ captive users</w:t>
            </w:r>
            <w:r>
              <w:rPr>
                <w:rStyle w:val="normaltextrun"/>
                <w:rFonts w:ascii="Calibri" w:hAnsi="Calibri" w:cs="Calibri"/>
                <w:color w:val="000000"/>
                <w:shd w:val="clear" w:color="auto" w:fill="FFFFFF"/>
                <w:lang w:val="en-US"/>
              </w:rPr>
              <w:t xml:space="preserve">, </w:t>
            </w:r>
            <w:r w:rsidRPr="00131214">
              <w:rPr>
                <w:rStyle w:val="normaltextrun"/>
                <w:rFonts w:ascii="Calibri" w:hAnsi="Calibri" w:cs="Calibri"/>
                <w:color w:val="000000"/>
                <w:shd w:val="clear" w:color="auto" w:fill="FFFFFF"/>
                <w:lang w:val="en-US"/>
              </w:rPr>
              <w:t>to meet RPO targets through procurement, effectively requiring them to incorporate renewable-specific technical and qualification criteria in power purchase tenders</w:t>
            </w:r>
            <w:r>
              <w:rPr>
                <w:rStyle w:val="normaltextrun"/>
                <w:rFonts w:ascii="Calibri" w:hAnsi="Calibri" w:cs="Calibri"/>
                <w:color w:val="000000"/>
                <w:shd w:val="clear" w:color="auto" w:fill="FFFFFF"/>
                <w:lang w:val="en-US"/>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465863B9" w:rsidR="008A4685" w:rsidRPr="00CF2E7C" w:rsidRDefault="0068551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32873723" w:rsidR="008A4685" w:rsidRPr="00CF2E7C" w:rsidRDefault="0068551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265E6B1A" w:rsidR="008A4685" w:rsidRPr="00CF2E7C" w:rsidRDefault="0068551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68DF01D2" w:rsidR="008A4685" w:rsidRPr="00CF2E7C" w:rsidRDefault="0068551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D9AAAA3" w:rsidR="008A4685" w:rsidRPr="00CF2E7C" w:rsidRDefault="00685510"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649C928D" w:rsidR="0036671B" w:rsidRPr="00CF2E7C" w:rsidRDefault="0042382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Not applicable</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34359ED5"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2D07590F"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FDCEE29"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48614A6A"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4A2B4708"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48DA420"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2C64A5F7"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03B535A8"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02D088AB"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23D2D878" w:rsidR="008A4685" w:rsidRPr="00CF2E7C" w:rsidRDefault="00A57E4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5A8A10D1" w:rsidR="00CD5934" w:rsidRPr="00CF2E7C" w:rsidRDefault="00A57E40"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Not applicable</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39C62AE5"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14119274"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0F89B4EF"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1CBF425E"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2B4546E5"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19CAF4F3"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5DE8898A"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5D56DB38"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E3B0E7E"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5255F8FB"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3758D71C"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57DC244F"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24C29DF6" w:rsidR="008A4685" w:rsidRPr="00CF2E7C" w:rsidRDefault="00B45DA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12A9FC6A" w:rsidR="00483D65" w:rsidRPr="00CF2E7C" w:rsidRDefault="00F03418" w:rsidP="00E6028D">
            <w:pPr>
              <w:jc w:val="both"/>
              <w:rPr>
                <w:rStyle w:val="normaltextrun"/>
                <w:rFonts w:ascii="Calibri" w:hAnsi="Calibri" w:cs="Calibri"/>
                <w:color w:val="000000"/>
                <w:shd w:val="clear" w:color="auto" w:fill="FFFFFF"/>
                <w:lang w:val="en-US"/>
              </w:rPr>
            </w:pPr>
            <w:r w:rsidRPr="00F03418">
              <w:rPr>
                <w:rStyle w:val="normaltextrun"/>
                <w:rFonts w:ascii="Calibri" w:hAnsi="Calibri" w:cs="Calibri"/>
                <w:color w:val="000000"/>
                <w:shd w:val="clear" w:color="auto" w:fill="FFFFFF"/>
                <w:lang w:val="en-US"/>
              </w:rPr>
              <w:t xml:space="preserve">Under the </w:t>
            </w:r>
            <w:r w:rsidR="00E47263">
              <w:rPr>
                <w:rStyle w:val="normaltextrun"/>
                <w:rFonts w:ascii="Calibri" w:hAnsi="Calibri" w:cs="Calibri"/>
                <w:color w:val="000000"/>
                <w:shd w:val="clear" w:color="auto" w:fill="FFFFFF"/>
                <w:lang w:val="en-US"/>
              </w:rPr>
              <w:t>RPO</w:t>
            </w:r>
            <w:r w:rsidRPr="00F03418">
              <w:rPr>
                <w:rStyle w:val="normaltextrun"/>
                <w:rFonts w:ascii="Calibri" w:hAnsi="Calibri" w:cs="Calibri"/>
                <w:color w:val="000000"/>
                <w:shd w:val="clear" w:color="auto" w:fill="FFFFFF"/>
                <w:lang w:val="en-US"/>
              </w:rPr>
              <w:t xml:space="preserve"> framework, technical specifications at the tendering or solicitation stage are primarily focused on mandating the percentage of energy sourced from renewables. This is a requirement under the RPO, as obligated entities must procure a specified minimum percentage of their total electricity consumption from renewable sources such as solar, wind, and hydro, as notified by the </w:t>
            </w:r>
            <w:r w:rsidR="00E47263">
              <w:rPr>
                <w:rStyle w:val="normaltextrun"/>
                <w:rFonts w:ascii="Calibri" w:hAnsi="Calibri" w:cs="Calibri"/>
                <w:color w:val="000000"/>
                <w:shd w:val="clear" w:color="auto" w:fill="FFFFFF"/>
                <w:lang w:val="en-US"/>
              </w:rPr>
              <w:t xml:space="preserve">MoP. </w:t>
            </w:r>
            <w:r w:rsidRPr="00F03418">
              <w:rPr>
                <w:rStyle w:val="normaltextrun"/>
                <w:rFonts w:ascii="Calibri" w:hAnsi="Calibri" w:cs="Calibri"/>
                <w:color w:val="000000"/>
                <w:shd w:val="clear" w:color="auto" w:fill="FFFFFF"/>
                <w:lang w:val="en-US"/>
              </w:rPr>
              <w:t>Additionally, while not explicitly mandated, the use of low or zero-carbon energy technologies</w:t>
            </w:r>
            <w:r w:rsidR="00E47263">
              <w:rPr>
                <w:rStyle w:val="normaltextrun"/>
                <w:rFonts w:ascii="Calibri" w:hAnsi="Calibri" w:cs="Calibri"/>
                <w:color w:val="000000"/>
                <w:shd w:val="clear" w:color="auto" w:fill="FFFFFF"/>
                <w:lang w:val="en-US"/>
              </w:rPr>
              <w:t xml:space="preserve"> – </w:t>
            </w:r>
            <w:r w:rsidRPr="00F03418">
              <w:rPr>
                <w:rStyle w:val="normaltextrun"/>
                <w:rFonts w:ascii="Calibri" w:hAnsi="Calibri" w:cs="Calibri"/>
                <w:color w:val="000000"/>
                <w:shd w:val="clear" w:color="auto" w:fill="FFFFFF"/>
                <w:lang w:val="en-US"/>
              </w:rPr>
              <w:t>such as solar panels, wind turbines</w:t>
            </w:r>
            <w:r w:rsidR="00E47263">
              <w:rPr>
                <w:rStyle w:val="normaltextrun"/>
                <w:rFonts w:ascii="Calibri" w:hAnsi="Calibri" w:cs="Calibri"/>
                <w:color w:val="000000"/>
                <w:shd w:val="clear" w:color="auto" w:fill="FFFFFF"/>
                <w:lang w:val="en-US"/>
              </w:rPr>
              <w:t xml:space="preserve"> </w:t>
            </w:r>
            <w:r w:rsidRPr="00F03418">
              <w:rPr>
                <w:rStyle w:val="normaltextrun"/>
                <w:rFonts w:ascii="Calibri" w:hAnsi="Calibri" w:cs="Calibri"/>
                <w:color w:val="000000"/>
                <w:shd w:val="clear" w:color="auto" w:fill="FFFFFF"/>
                <w:lang w:val="en-US"/>
              </w:rPr>
              <w:t>or electric vehicles</w:t>
            </w:r>
            <w:r w:rsidR="00E47263">
              <w:rPr>
                <w:rStyle w:val="normaltextrun"/>
                <w:rFonts w:ascii="Calibri" w:hAnsi="Calibri" w:cs="Calibri"/>
                <w:color w:val="000000"/>
                <w:shd w:val="clear" w:color="auto" w:fill="FFFFFF"/>
                <w:lang w:val="en-US"/>
              </w:rPr>
              <w:t xml:space="preserve"> – </w:t>
            </w:r>
            <w:r w:rsidR="007A20F3">
              <w:rPr>
                <w:rStyle w:val="normaltextrun"/>
                <w:rFonts w:ascii="Calibri" w:hAnsi="Calibri" w:cs="Calibri"/>
                <w:color w:val="000000"/>
                <w:shd w:val="clear" w:color="auto" w:fill="FFFFFF"/>
                <w:lang w:val="en-US"/>
              </w:rPr>
              <w:t>i</w:t>
            </w:r>
            <w:r w:rsidRPr="00F03418">
              <w:rPr>
                <w:rStyle w:val="normaltextrun"/>
                <w:rFonts w:ascii="Calibri" w:hAnsi="Calibri" w:cs="Calibri"/>
                <w:color w:val="000000"/>
                <w:shd w:val="clear" w:color="auto" w:fill="FFFFFF"/>
                <w:lang w:val="en-US"/>
              </w:rPr>
              <w:t>s indirectly encouraged as a means to meet RPO targets.</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42812C41" w:rsidR="009A5C4E" w:rsidRPr="0074258C" w:rsidRDefault="006C5386" w:rsidP="00CF2E7C">
            <w:pPr>
              <w:rPr>
                <w:rStyle w:val="normaltextrun"/>
                <w:rFonts w:cstheme="minorHAnsi"/>
                <w:color w:val="000000"/>
                <w:lang w:val="en-US"/>
              </w:rPr>
            </w:pPr>
            <w:r>
              <w:rPr>
                <w:rStyle w:val="normaltextrun"/>
                <w:rFonts w:cstheme="minorHAnsi"/>
                <w:color w:val="000000"/>
                <w:lang w:val="en-US"/>
              </w:rPr>
              <w:t>X</w:t>
            </w: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E25E734" w:rsidR="009A5C4E" w:rsidRPr="0074258C" w:rsidRDefault="006C5386" w:rsidP="00E6028D">
            <w:pPr>
              <w:jc w:val="both"/>
              <w:rPr>
                <w:rStyle w:val="normaltextrun"/>
                <w:rFonts w:cstheme="minorHAnsi"/>
                <w:color w:val="000000"/>
                <w:shd w:val="clear" w:color="auto" w:fill="FFFFFF"/>
                <w:lang w:val="en-US"/>
              </w:rPr>
            </w:pPr>
            <w:r w:rsidRPr="006C5386">
              <w:rPr>
                <w:rStyle w:val="normaltextrun"/>
                <w:rFonts w:cstheme="minorHAnsi"/>
                <w:color w:val="000000"/>
                <w:shd w:val="clear" w:color="auto" w:fill="FFFFFF"/>
                <w:lang w:val="en-US"/>
              </w:rPr>
              <w:t>At the contract performance stage, the RPO framework requires obligated entities to report renewable energy procurement annually. Monitoring is enforced via state/central agencies, with non-compliance attracting penalties under the Act. Thus, reporting, verification and compliance are mandatory performance obligations.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532E477" w:rsidR="009A5C4E" w:rsidRPr="0074258C" w:rsidRDefault="007763E9" w:rsidP="00CF2E7C">
            <w:pPr>
              <w:rPr>
                <w:rStyle w:val="normaltextrun"/>
                <w:rFonts w:cstheme="minorHAnsi"/>
                <w:color w:val="000000"/>
                <w:lang w:val="en-US"/>
              </w:rPr>
            </w:pPr>
            <w:r>
              <w:rPr>
                <w:rStyle w:val="normaltextrun"/>
                <w:rFonts w:cstheme="minorHAnsi"/>
                <w:color w:val="000000"/>
                <w:lang w:val="en-US"/>
              </w:rPr>
              <w:t>X</w:t>
            </w: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4222C7E0" w:rsidR="009A5C4E" w:rsidRDefault="007763E9" w:rsidP="00E6028D">
            <w:pPr>
              <w:jc w:val="both"/>
              <w:rPr>
                <w:rStyle w:val="normaltextrun"/>
                <w:rFonts w:ascii="Mulish" w:hAnsi="Mulish"/>
                <w:color w:val="000000"/>
                <w:sz w:val="22"/>
                <w:szCs w:val="22"/>
                <w:shd w:val="clear" w:color="auto" w:fill="FFFFFF"/>
                <w:lang w:val="en-US"/>
              </w:rPr>
            </w:pPr>
            <w:r w:rsidRPr="007763E9">
              <w:rPr>
                <w:rStyle w:val="normaltextrun"/>
                <w:rFonts w:ascii="Mulish" w:hAnsi="Mulish"/>
                <w:color w:val="000000"/>
                <w:sz w:val="22"/>
                <w:szCs w:val="22"/>
                <w:shd w:val="clear" w:color="auto" w:fill="FFFFFF"/>
                <w:lang w:val="en-US"/>
              </w:rPr>
              <w:t xml:space="preserve">The MoP Notification dated 22 July 2022, and its subsequent amendments require obligated entities to submit periodic compliance reports on their </w:t>
            </w:r>
            <w:r>
              <w:rPr>
                <w:rStyle w:val="normaltextrun"/>
                <w:rFonts w:ascii="Mulish" w:hAnsi="Mulish"/>
                <w:color w:val="000000"/>
                <w:sz w:val="22"/>
                <w:szCs w:val="22"/>
                <w:shd w:val="clear" w:color="auto" w:fill="FFFFFF"/>
                <w:lang w:val="en-US"/>
              </w:rPr>
              <w:t>RPOs</w:t>
            </w:r>
            <w:r w:rsidRPr="007763E9">
              <w:rPr>
                <w:rStyle w:val="normaltextrun"/>
                <w:rFonts w:ascii="Mulish" w:hAnsi="Mulish"/>
                <w:color w:val="000000"/>
                <w:sz w:val="22"/>
                <w:szCs w:val="22"/>
                <w:shd w:val="clear" w:color="auto" w:fill="FFFFFF"/>
                <w:lang w:val="en-US"/>
              </w:rPr>
              <w:t xml:space="preserve"> to the appropriate commission or agency. Monitoring and verification mechanisms are embedded in the policy, making climate-aligned procurement reporting a mandatory component of RPO implementation.</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0DC0261E" w:rsidR="007802C6" w:rsidRPr="00CF2E7C" w:rsidRDefault="001742D1"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594711EB" w:rsidR="007802C6" w:rsidRPr="00CF2E7C" w:rsidRDefault="001742D1"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D1C0C45" w:rsidR="007802C6" w:rsidRPr="00CF2E7C" w:rsidRDefault="001742D1"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A2AF5A6" w:rsidR="007802C6" w:rsidRPr="00CF2E7C" w:rsidRDefault="001742D1"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7F540C43" w:rsidR="007802C6" w:rsidRPr="00CF2E7C" w:rsidRDefault="001742D1"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5DB3022" w:rsidR="007802C6" w:rsidRPr="00CF2E7C" w:rsidRDefault="001742D1"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2866CAA" w:rsidR="007802C6" w:rsidRPr="00CF2E7C" w:rsidRDefault="001742D1"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4B3FD14" w:rsidR="007802C6" w:rsidRPr="00CF2E7C" w:rsidRDefault="001742D1"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81DFDFF" w:rsidR="007802C6" w:rsidRPr="00CF2E7C" w:rsidRDefault="001742D1"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656ED396" w:rsidR="007802C6" w:rsidRPr="00CF2E7C" w:rsidRDefault="001742D1"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1491CE49" w:rsidR="007802C6" w:rsidRPr="00CF2E7C" w:rsidRDefault="001742D1"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99AC8DA" w:rsidR="007802C6" w:rsidRPr="00CF2E7C" w:rsidRDefault="00944E99"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C8AC256" w:rsidR="007802C6" w:rsidRPr="00CF2E7C" w:rsidRDefault="00944E99"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6534255" w:rsidR="007802C6" w:rsidRPr="00CF2E7C" w:rsidRDefault="00944E99"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45708F0" w:rsidR="007802C6" w:rsidRPr="00CF2E7C" w:rsidRDefault="00944E99"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46612F8" w:rsidR="007802C6" w:rsidRPr="00CF2E7C" w:rsidRDefault="00944E99"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1671B50" w:rsidR="007802C6" w:rsidRPr="00CF2E7C" w:rsidRDefault="00944E99"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642FA9F" w:rsidR="007802C6" w:rsidRPr="00CF2E7C" w:rsidRDefault="00944E99"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7C3F7C1" w:rsidR="007802C6" w:rsidRPr="00CF2E7C" w:rsidRDefault="00944E99"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DF3C4F2" w:rsidR="007802C6" w:rsidRPr="00CF2E7C" w:rsidRDefault="00944E99"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5C6B160E" w:rsidR="007802C6" w:rsidRPr="00CF2E7C" w:rsidRDefault="00944E99"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7C1884E" w:rsidR="007802C6" w:rsidRPr="00CF2E7C" w:rsidRDefault="00944E99"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050512DE" w:rsidR="007802C6" w:rsidRPr="00CF2E7C" w:rsidRDefault="00D56575" w:rsidP="00CF2E7C">
            <w:pPr>
              <w:rPr>
                <w:rFonts w:ascii="Calibri" w:hAnsi="Calibri" w:cs="Calibri"/>
              </w:rPr>
            </w:pPr>
            <w:r>
              <w:rPr>
                <w:rFonts w:ascii="Calibri" w:hAnsi="Calibri" w:cs="Calibri"/>
              </w:rPr>
              <w:t>Not applicable</w:t>
            </w: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99B68D" w14:textId="77777777" w:rsidR="005A3070" w:rsidRDefault="005A3070" w:rsidP="00874E39">
      <w:r>
        <w:separator/>
      </w:r>
    </w:p>
  </w:endnote>
  <w:endnote w:type="continuationSeparator" w:id="0">
    <w:p w14:paraId="6F27E9F8" w14:textId="77777777" w:rsidR="005A3070" w:rsidRDefault="005A3070" w:rsidP="00874E39">
      <w:r>
        <w:continuationSeparator/>
      </w:r>
    </w:p>
  </w:endnote>
  <w:endnote w:type="continuationNotice" w:id="1">
    <w:p w14:paraId="7FF18A7F" w14:textId="77777777" w:rsidR="005A3070" w:rsidRDefault="005A30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9C3D83" w14:textId="77777777" w:rsidR="005A3070" w:rsidRDefault="005A3070" w:rsidP="00874E39">
      <w:r>
        <w:separator/>
      </w:r>
    </w:p>
  </w:footnote>
  <w:footnote w:type="continuationSeparator" w:id="0">
    <w:p w14:paraId="3D1D1368" w14:textId="77777777" w:rsidR="005A3070" w:rsidRDefault="005A3070" w:rsidP="00874E39">
      <w:r>
        <w:continuationSeparator/>
      </w:r>
    </w:p>
  </w:footnote>
  <w:footnote w:type="continuationNotice" w:id="1">
    <w:p w14:paraId="4DCAD80D" w14:textId="77777777" w:rsidR="005A3070" w:rsidRDefault="005A30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oNotDisplayPageBoundarie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F94"/>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C5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CBE"/>
    <w:rsid w:val="001206CE"/>
    <w:rsid w:val="001221BA"/>
    <w:rsid w:val="00122504"/>
    <w:rsid w:val="00122733"/>
    <w:rsid w:val="00123F5C"/>
    <w:rsid w:val="00124C48"/>
    <w:rsid w:val="00131214"/>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159"/>
    <w:rsid w:val="00153DBC"/>
    <w:rsid w:val="001546B4"/>
    <w:rsid w:val="00156468"/>
    <w:rsid w:val="00156AE2"/>
    <w:rsid w:val="00156CD5"/>
    <w:rsid w:val="0015734C"/>
    <w:rsid w:val="0016002C"/>
    <w:rsid w:val="00160486"/>
    <w:rsid w:val="001604B3"/>
    <w:rsid w:val="00161D1B"/>
    <w:rsid w:val="00162CC0"/>
    <w:rsid w:val="00164519"/>
    <w:rsid w:val="00167A5F"/>
    <w:rsid w:val="00167CFC"/>
    <w:rsid w:val="00172B85"/>
    <w:rsid w:val="00173D7C"/>
    <w:rsid w:val="001742D1"/>
    <w:rsid w:val="0017449C"/>
    <w:rsid w:val="001749C3"/>
    <w:rsid w:val="00176011"/>
    <w:rsid w:val="00180289"/>
    <w:rsid w:val="00181C01"/>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CE6"/>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D8F"/>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D13"/>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605"/>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02F"/>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275"/>
    <w:rsid w:val="00284ADD"/>
    <w:rsid w:val="00285DA7"/>
    <w:rsid w:val="00286013"/>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59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A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43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750"/>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823"/>
    <w:rsid w:val="0042391C"/>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DDA"/>
    <w:rsid w:val="004474C7"/>
    <w:rsid w:val="00450AD7"/>
    <w:rsid w:val="00450C15"/>
    <w:rsid w:val="004514AB"/>
    <w:rsid w:val="00452F13"/>
    <w:rsid w:val="004557A1"/>
    <w:rsid w:val="00455E1B"/>
    <w:rsid w:val="00460A6D"/>
    <w:rsid w:val="00461552"/>
    <w:rsid w:val="0046385D"/>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D9D"/>
    <w:rsid w:val="004D5810"/>
    <w:rsid w:val="004D6484"/>
    <w:rsid w:val="004D7C53"/>
    <w:rsid w:val="004D7C56"/>
    <w:rsid w:val="004E1E99"/>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B4C"/>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34A"/>
    <w:rsid w:val="005A270C"/>
    <w:rsid w:val="005A2821"/>
    <w:rsid w:val="005A2900"/>
    <w:rsid w:val="005A307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356"/>
    <w:rsid w:val="006239D6"/>
    <w:rsid w:val="00626B40"/>
    <w:rsid w:val="00630D85"/>
    <w:rsid w:val="006317B0"/>
    <w:rsid w:val="00631996"/>
    <w:rsid w:val="00631AAB"/>
    <w:rsid w:val="006321A7"/>
    <w:rsid w:val="0063324C"/>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A74"/>
    <w:rsid w:val="006636CE"/>
    <w:rsid w:val="00663D94"/>
    <w:rsid w:val="00664677"/>
    <w:rsid w:val="00666CB6"/>
    <w:rsid w:val="00671EA4"/>
    <w:rsid w:val="006736BC"/>
    <w:rsid w:val="006746D5"/>
    <w:rsid w:val="0067532A"/>
    <w:rsid w:val="00675752"/>
    <w:rsid w:val="006770B7"/>
    <w:rsid w:val="006801E4"/>
    <w:rsid w:val="00683A9D"/>
    <w:rsid w:val="00683DB5"/>
    <w:rsid w:val="00685510"/>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A29"/>
    <w:rsid w:val="006C3C15"/>
    <w:rsid w:val="006C3E76"/>
    <w:rsid w:val="006C4979"/>
    <w:rsid w:val="006C5386"/>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5A96"/>
    <w:rsid w:val="006E114C"/>
    <w:rsid w:val="006E18FD"/>
    <w:rsid w:val="006E23C1"/>
    <w:rsid w:val="006E2838"/>
    <w:rsid w:val="006E43A6"/>
    <w:rsid w:val="006E5C5F"/>
    <w:rsid w:val="006E5E6E"/>
    <w:rsid w:val="006E5EE5"/>
    <w:rsid w:val="006E6B58"/>
    <w:rsid w:val="006E7195"/>
    <w:rsid w:val="006E7DC6"/>
    <w:rsid w:val="006F0E83"/>
    <w:rsid w:val="006F13BA"/>
    <w:rsid w:val="006F2FC8"/>
    <w:rsid w:val="006F344F"/>
    <w:rsid w:val="006F3CBF"/>
    <w:rsid w:val="006F531C"/>
    <w:rsid w:val="006F53B6"/>
    <w:rsid w:val="006F6567"/>
    <w:rsid w:val="006F7123"/>
    <w:rsid w:val="0070013E"/>
    <w:rsid w:val="00702413"/>
    <w:rsid w:val="00702929"/>
    <w:rsid w:val="00702E5A"/>
    <w:rsid w:val="00703034"/>
    <w:rsid w:val="007032D7"/>
    <w:rsid w:val="00704340"/>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37F44"/>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8C9"/>
    <w:rsid w:val="00750A02"/>
    <w:rsid w:val="00752CD3"/>
    <w:rsid w:val="00753427"/>
    <w:rsid w:val="0075345B"/>
    <w:rsid w:val="0075419A"/>
    <w:rsid w:val="00754C24"/>
    <w:rsid w:val="007557DF"/>
    <w:rsid w:val="0075609B"/>
    <w:rsid w:val="00756E62"/>
    <w:rsid w:val="007600D1"/>
    <w:rsid w:val="00760A5E"/>
    <w:rsid w:val="007615D2"/>
    <w:rsid w:val="00763C64"/>
    <w:rsid w:val="00764D1A"/>
    <w:rsid w:val="00764DB3"/>
    <w:rsid w:val="00765130"/>
    <w:rsid w:val="007653FB"/>
    <w:rsid w:val="0076706A"/>
    <w:rsid w:val="00767944"/>
    <w:rsid w:val="0077017A"/>
    <w:rsid w:val="007710D7"/>
    <w:rsid w:val="00772608"/>
    <w:rsid w:val="00773639"/>
    <w:rsid w:val="00774353"/>
    <w:rsid w:val="00775056"/>
    <w:rsid w:val="007759A9"/>
    <w:rsid w:val="007759EF"/>
    <w:rsid w:val="00775C7B"/>
    <w:rsid w:val="007763E9"/>
    <w:rsid w:val="00777550"/>
    <w:rsid w:val="00777682"/>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0F3"/>
    <w:rsid w:val="007A24F7"/>
    <w:rsid w:val="007A316E"/>
    <w:rsid w:val="007A426C"/>
    <w:rsid w:val="007A5D75"/>
    <w:rsid w:val="007A6D5E"/>
    <w:rsid w:val="007A725A"/>
    <w:rsid w:val="007A746E"/>
    <w:rsid w:val="007A7701"/>
    <w:rsid w:val="007B1B4F"/>
    <w:rsid w:val="007B1CB8"/>
    <w:rsid w:val="007B2322"/>
    <w:rsid w:val="007B25C8"/>
    <w:rsid w:val="007B3452"/>
    <w:rsid w:val="007B5F4C"/>
    <w:rsid w:val="007B66F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0CE"/>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66FD"/>
    <w:rsid w:val="0087096F"/>
    <w:rsid w:val="008709CF"/>
    <w:rsid w:val="00872151"/>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AC3"/>
    <w:rsid w:val="00900BE0"/>
    <w:rsid w:val="0090170E"/>
    <w:rsid w:val="00901BF4"/>
    <w:rsid w:val="00901C62"/>
    <w:rsid w:val="00902595"/>
    <w:rsid w:val="0090264D"/>
    <w:rsid w:val="00903BD2"/>
    <w:rsid w:val="00905C1A"/>
    <w:rsid w:val="00906E8B"/>
    <w:rsid w:val="00907481"/>
    <w:rsid w:val="009102B5"/>
    <w:rsid w:val="00910760"/>
    <w:rsid w:val="009107D0"/>
    <w:rsid w:val="00911F20"/>
    <w:rsid w:val="009128F1"/>
    <w:rsid w:val="00912DDA"/>
    <w:rsid w:val="00913362"/>
    <w:rsid w:val="00913BB1"/>
    <w:rsid w:val="00913FA1"/>
    <w:rsid w:val="00914A85"/>
    <w:rsid w:val="00914D15"/>
    <w:rsid w:val="00915243"/>
    <w:rsid w:val="00916A78"/>
    <w:rsid w:val="009177A2"/>
    <w:rsid w:val="00917876"/>
    <w:rsid w:val="00920154"/>
    <w:rsid w:val="0092025F"/>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E99"/>
    <w:rsid w:val="00945921"/>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215"/>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041"/>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6F66"/>
    <w:rsid w:val="00A0773E"/>
    <w:rsid w:val="00A07FB5"/>
    <w:rsid w:val="00A123CE"/>
    <w:rsid w:val="00A1384B"/>
    <w:rsid w:val="00A14760"/>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54D"/>
    <w:rsid w:val="00A33284"/>
    <w:rsid w:val="00A34E4A"/>
    <w:rsid w:val="00A3614E"/>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40"/>
    <w:rsid w:val="00A57E93"/>
    <w:rsid w:val="00A60704"/>
    <w:rsid w:val="00A60DA8"/>
    <w:rsid w:val="00A6115A"/>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7F7"/>
    <w:rsid w:val="00AA38F6"/>
    <w:rsid w:val="00AA4965"/>
    <w:rsid w:val="00AA6DDB"/>
    <w:rsid w:val="00AB0830"/>
    <w:rsid w:val="00AB2CCC"/>
    <w:rsid w:val="00AB4F2C"/>
    <w:rsid w:val="00AB58D8"/>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65B"/>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DAC"/>
    <w:rsid w:val="00B45E9A"/>
    <w:rsid w:val="00B460A9"/>
    <w:rsid w:val="00B4642E"/>
    <w:rsid w:val="00B4729B"/>
    <w:rsid w:val="00B47460"/>
    <w:rsid w:val="00B50D6B"/>
    <w:rsid w:val="00B50D78"/>
    <w:rsid w:val="00B5110E"/>
    <w:rsid w:val="00B534D5"/>
    <w:rsid w:val="00B536E6"/>
    <w:rsid w:val="00B54876"/>
    <w:rsid w:val="00B56945"/>
    <w:rsid w:val="00B610C2"/>
    <w:rsid w:val="00B61B6F"/>
    <w:rsid w:val="00B61D29"/>
    <w:rsid w:val="00B62F6C"/>
    <w:rsid w:val="00B634F2"/>
    <w:rsid w:val="00B65F11"/>
    <w:rsid w:val="00B673AC"/>
    <w:rsid w:val="00B6777F"/>
    <w:rsid w:val="00B70E66"/>
    <w:rsid w:val="00B720BA"/>
    <w:rsid w:val="00B733B0"/>
    <w:rsid w:val="00B745B3"/>
    <w:rsid w:val="00B74EBB"/>
    <w:rsid w:val="00B74F7D"/>
    <w:rsid w:val="00B76EAD"/>
    <w:rsid w:val="00B77F79"/>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4C9E"/>
    <w:rsid w:val="00B95827"/>
    <w:rsid w:val="00B95988"/>
    <w:rsid w:val="00B963C3"/>
    <w:rsid w:val="00BA01DD"/>
    <w:rsid w:val="00BA0460"/>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C07"/>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6B0"/>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795"/>
    <w:rsid w:val="00C26867"/>
    <w:rsid w:val="00C27879"/>
    <w:rsid w:val="00C30240"/>
    <w:rsid w:val="00C3135C"/>
    <w:rsid w:val="00C31696"/>
    <w:rsid w:val="00C3244D"/>
    <w:rsid w:val="00C33102"/>
    <w:rsid w:val="00C3337E"/>
    <w:rsid w:val="00C3440C"/>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D25"/>
    <w:rsid w:val="00C55D72"/>
    <w:rsid w:val="00C56D45"/>
    <w:rsid w:val="00C57511"/>
    <w:rsid w:val="00C575FB"/>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6F1"/>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24D"/>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C8B"/>
    <w:rsid w:val="00CD6DAC"/>
    <w:rsid w:val="00CE0CAF"/>
    <w:rsid w:val="00CE46AE"/>
    <w:rsid w:val="00CE6394"/>
    <w:rsid w:val="00CF01F9"/>
    <w:rsid w:val="00CF0A09"/>
    <w:rsid w:val="00CF12B7"/>
    <w:rsid w:val="00CF2E7C"/>
    <w:rsid w:val="00CF3186"/>
    <w:rsid w:val="00CF3188"/>
    <w:rsid w:val="00CF31E5"/>
    <w:rsid w:val="00CF3B95"/>
    <w:rsid w:val="00CF4338"/>
    <w:rsid w:val="00CF5268"/>
    <w:rsid w:val="00CF57A6"/>
    <w:rsid w:val="00CF5976"/>
    <w:rsid w:val="00CF5D92"/>
    <w:rsid w:val="00CF7AAE"/>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65E"/>
    <w:rsid w:val="00D27551"/>
    <w:rsid w:val="00D275A7"/>
    <w:rsid w:val="00D27824"/>
    <w:rsid w:val="00D3060F"/>
    <w:rsid w:val="00D31B8E"/>
    <w:rsid w:val="00D31FBC"/>
    <w:rsid w:val="00D32752"/>
    <w:rsid w:val="00D33DB2"/>
    <w:rsid w:val="00D33DE7"/>
    <w:rsid w:val="00D348BC"/>
    <w:rsid w:val="00D34C6E"/>
    <w:rsid w:val="00D3782F"/>
    <w:rsid w:val="00D405E6"/>
    <w:rsid w:val="00D43237"/>
    <w:rsid w:val="00D4323A"/>
    <w:rsid w:val="00D442ED"/>
    <w:rsid w:val="00D44C0E"/>
    <w:rsid w:val="00D46116"/>
    <w:rsid w:val="00D46297"/>
    <w:rsid w:val="00D4693D"/>
    <w:rsid w:val="00D46B07"/>
    <w:rsid w:val="00D47404"/>
    <w:rsid w:val="00D510DA"/>
    <w:rsid w:val="00D53F8D"/>
    <w:rsid w:val="00D547E6"/>
    <w:rsid w:val="00D56575"/>
    <w:rsid w:val="00D56EA7"/>
    <w:rsid w:val="00D57AD5"/>
    <w:rsid w:val="00D6003F"/>
    <w:rsid w:val="00D60275"/>
    <w:rsid w:val="00D637B2"/>
    <w:rsid w:val="00D6386F"/>
    <w:rsid w:val="00D66DDD"/>
    <w:rsid w:val="00D67061"/>
    <w:rsid w:val="00D67EB7"/>
    <w:rsid w:val="00D70367"/>
    <w:rsid w:val="00D7554F"/>
    <w:rsid w:val="00D765DD"/>
    <w:rsid w:val="00D76854"/>
    <w:rsid w:val="00D80C46"/>
    <w:rsid w:val="00D818DF"/>
    <w:rsid w:val="00D825A8"/>
    <w:rsid w:val="00D83201"/>
    <w:rsid w:val="00D8337E"/>
    <w:rsid w:val="00D8345D"/>
    <w:rsid w:val="00D86784"/>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5E8"/>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7AB"/>
    <w:rsid w:val="00E17A58"/>
    <w:rsid w:val="00E20574"/>
    <w:rsid w:val="00E2059C"/>
    <w:rsid w:val="00E2063A"/>
    <w:rsid w:val="00E20EF2"/>
    <w:rsid w:val="00E224C8"/>
    <w:rsid w:val="00E22757"/>
    <w:rsid w:val="00E23A3D"/>
    <w:rsid w:val="00E244AA"/>
    <w:rsid w:val="00E24527"/>
    <w:rsid w:val="00E24D9B"/>
    <w:rsid w:val="00E25259"/>
    <w:rsid w:val="00E25EAF"/>
    <w:rsid w:val="00E26760"/>
    <w:rsid w:val="00E321EB"/>
    <w:rsid w:val="00E32892"/>
    <w:rsid w:val="00E330BA"/>
    <w:rsid w:val="00E34DED"/>
    <w:rsid w:val="00E368E8"/>
    <w:rsid w:val="00E36D6E"/>
    <w:rsid w:val="00E3786E"/>
    <w:rsid w:val="00E37C8B"/>
    <w:rsid w:val="00E37ECE"/>
    <w:rsid w:val="00E405B9"/>
    <w:rsid w:val="00E41941"/>
    <w:rsid w:val="00E425D4"/>
    <w:rsid w:val="00E43229"/>
    <w:rsid w:val="00E454C9"/>
    <w:rsid w:val="00E47263"/>
    <w:rsid w:val="00E50761"/>
    <w:rsid w:val="00E509D9"/>
    <w:rsid w:val="00E50B13"/>
    <w:rsid w:val="00E51B16"/>
    <w:rsid w:val="00E543BC"/>
    <w:rsid w:val="00E554A3"/>
    <w:rsid w:val="00E56917"/>
    <w:rsid w:val="00E573C2"/>
    <w:rsid w:val="00E579FC"/>
    <w:rsid w:val="00E6028D"/>
    <w:rsid w:val="00E603D8"/>
    <w:rsid w:val="00E60CA5"/>
    <w:rsid w:val="00E6223B"/>
    <w:rsid w:val="00E631C3"/>
    <w:rsid w:val="00E631DE"/>
    <w:rsid w:val="00E636E4"/>
    <w:rsid w:val="00E63AC5"/>
    <w:rsid w:val="00E64260"/>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45D"/>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418"/>
    <w:rsid w:val="00F03665"/>
    <w:rsid w:val="00F03D4C"/>
    <w:rsid w:val="00F04743"/>
    <w:rsid w:val="00F0479F"/>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19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19C"/>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758D"/>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4621813">
      <w:bodyDiv w:val="1"/>
      <w:marLeft w:val="0"/>
      <w:marRight w:val="0"/>
      <w:marTop w:val="0"/>
      <w:marBottom w:val="0"/>
      <w:divBdr>
        <w:top w:val="none" w:sz="0" w:space="0" w:color="auto"/>
        <w:left w:val="none" w:sz="0" w:space="0" w:color="auto"/>
        <w:bottom w:val="none" w:sz="0" w:space="0" w:color="auto"/>
        <w:right w:val="none" w:sz="0" w:space="0" w:color="auto"/>
      </w:divBdr>
    </w:div>
    <w:div w:id="524829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berc.gov.in/sites/default/files/tariff-policy-28.01.2016.pdf" TargetMode="External"/><Relationship Id="rId26" Type="http://schemas.openxmlformats.org/officeDocument/2006/relationships/hyperlink" Target="https://law.asia/aptel-rpo-cogeneration/" TargetMode="External"/><Relationship Id="rId3" Type="http://schemas.openxmlformats.org/officeDocument/2006/relationships/customXml" Target="../customXml/item3.xml"/><Relationship Id="rId21" Type="http://schemas.openxmlformats.org/officeDocument/2006/relationships/hyperlink" Target="https://www.lexology.com/library/detail.aspx?g=5dd9476b-aa13-4908-8e26-f11154234460"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indiacode.nic.in/bitstream/123456789/2058/1/A2003-36.pdf" TargetMode="External"/><Relationship Id="rId25" Type="http://schemas.openxmlformats.org/officeDocument/2006/relationships/hyperlink" Target="https://www.lexology.com/library/detail.aspx?g=5dd9476b-aa13-4908-8e26-f1115423446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saurenergy.com/solar-energy-news/tata-steel-slips-up-on-rpo-obligations-in-jharkhand-penalised"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saurenergy.com/solar-energy-news/tata-steel-slips-up-on-rpo-obligations-in-jharkhand-penalised"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reconnectenergy.com/jerc-goa-uts-imposes-penalty-for-non-compliance-of-rpo/?utm_source=chatgpt.com" TargetMode="External"/><Relationship Id="rId28"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reconnectenergy.com/jerc-goa-uts-imposes-penalty-for-non-compliance-of-rpo/?utm_source=chatgpt.com"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law.asia/aptel-rpo-cogeneration/" TargetMode="External"/><Relationship Id="rId27" Type="http://schemas.openxmlformats.org/officeDocument/2006/relationships/hyperlink" Target="https://www.bis.org/fsi/fsibriefs18.pdf"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112</Pages>
  <Words>23492</Words>
  <Characters>133910</Characters>
  <Application>Microsoft Office Word</Application>
  <DocSecurity>0</DocSecurity>
  <Lines>1115</Lines>
  <Paragraphs>314</Paragraphs>
  <ScaleCrop>false</ScaleCrop>
  <Company/>
  <LinksUpToDate>false</LinksUpToDate>
  <CharactersWithSpaces>157088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104</cp:revision>
  <cp:lastPrinted>2025-03-21T00:14:00Z</cp:lastPrinted>
  <dcterms:created xsi:type="dcterms:W3CDTF">2025-06-23T10:51:00Z</dcterms:created>
  <dcterms:modified xsi:type="dcterms:W3CDTF">2025-07-25T15:02:00Z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